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23FF5E7A" w:rsidR="00303591" w:rsidRPr="000C5EDD" w:rsidRDefault="00303591" w:rsidP="00303591">
      <w:pPr>
        <w:pStyle w:val="Header"/>
        <w:tabs>
          <w:tab w:val="right" w:pos="9639"/>
        </w:tabs>
        <w:jc w:val="both"/>
        <w:rPr>
          <w:rFonts w:cs="Courier New"/>
          <w:sz w:val="24"/>
          <w:szCs w:val="24"/>
          <w:lang w:val="de-DE"/>
        </w:rPr>
      </w:pPr>
      <w:r w:rsidRPr="000C5EDD">
        <w:rPr>
          <w:rFonts w:cs="Courier New"/>
          <w:sz w:val="24"/>
          <w:szCs w:val="24"/>
          <w:lang w:val="de-DE"/>
        </w:rPr>
        <w:t>3GPP TSG-RAN WG4 #</w:t>
      </w:r>
      <w:r w:rsidR="000650CF" w:rsidRPr="000C5EDD">
        <w:rPr>
          <w:rFonts w:cs="Arial"/>
          <w:sz w:val="24"/>
          <w:szCs w:val="24"/>
          <w:lang w:val="de-DE"/>
        </w:rPr>
        <w:t>90</w:t>
      </w:r>
      <w:r w:rsidR="000C5EDD" w:rsidRPr="000C5EDD">
        <w:rPr>
          <w:rFonts w:cs="Arial"/>
          <w:sz w:val="24"/>
          <w:szCs w:val="24"/>
          <w:lang w:val="de-DE"/>
        </w:rPr>
        <w:t>bis</w:t>
      </w:r>
      <w:r w:rsidRPr="000C5EDD">
        <w:rPr>
          <w:rFonts w:cs="Courier New"/>
          <w:sz w:val="24"/>
          <w:szCs w:val="24"/>
          <w:lang w:val="de-DE"/>
        </w:rPr>
        <w:tab/>
      </w:r>
      <w:r w:rsidR="0040698C" w:rsidRPr="000C5EDD">
        <w:rPr>
          <w:rFonts w:cs="Courier New"/>
          <w:sz w:val="24"/>
          <w:szCs w:val="24"/>
          <w:lang w:val="de-DE"/>
        </w:rPr>
        <w:t>R4-1</w:t>
      </w:r>
      <w:r w:rsidR="00B42D1D" w:rsidRPr="000C5EDD">
        <w:rPr>
          <w:rFonts w:cs="Courier New"/>
          <w:sz w:val="24"/>
          <w:szCs w:val="24"/>
          <w:lang w:val="de-DE"/>
        </w:rPr>
        <w:t>9</w:t>
      </w:r>
      <w:r w:rsidR="00FC0620" w:rsidRPr="000C5EDD">
        <w:rPr>
          <w:rFonts w:cs="Courier New"/>
          <w:sz w:val="24"/>
          <w:szCs w:val="24"/>
          <w:lang w:val="de-DE"/>
        </w:rPr>
        <w:t>0</w:t>
      </w:r>
      <w:r w:rsidR="00E1134D">
        <w:rPr>
          <w:rFonts w:cs="Courier New"/>
          <w:sz w:val="24"/>
          <w:szCs w:val="24"/>
          <w:lang w:val="de-DE"/>
        </w:rPr>
        <w:t>4323</w:t>
      </w:r>
    </w:p>
    <w:p w14:paraId="3502ADA3" w14:textId="2934DDDA" w:rsidR="009C1F3F" w:rsidRPr="001D0744" w:rsidRDefault="000C5EDD" w:rsidP="00AC033F">
      <w:pPr>
        <w:pStyle w:val="Header"/>
        <w:jc w:val="both"/>
        <w:rPr>
          <w:rFonts w:cs="Arial"/>
          <w:b w:val="0"/>
        </w:rPr>
      </w:pPr>
      <w:r>
        <w:rPr>
          <w:rFonts w:cs="Arial"/>
          <w:sz w:val="24"/>
          <w:szCs w:val="24"/>
        </w:rPr>
        <w:t>Xi’An</w:t>
      </w:r>
      <w:r w:rsidR="00B42D1D" w:rsidRPr="00370CE3">
        <w:rPr>
          <w:rFonts w:cs="Arial"/>
          <w:sz w:val="24"/>
          <w:szCs w:val="24"/>
        </w:rPr>
        <w:t xml:space="preserve">, </w:t>
      </w:r>
      <w:r>
        <w:rPr>
          <w:rFonts w:cs="Arial"/>
          <w:sz w:val="24"/>
          <w:szCs w:val="24"/>
        </w:rPr>
        <w:t>China</w:t>
      </w:r>
      <w:r w:rsidR="00B42D1D" w:rsidRPr="00370CE3">
        <w:rPr>
          <w:rFonts w:cs="Arial"/>
          <w:sz w:val="24"/>
          <w:szCs w:val="24"/>
        </w:rPr>
        <w:t xml:space="preserve">, </w:t>
      </w:r>
      <w:r>
        <w:rPr>
          <w:rFonts w:cs="Arial"/>
          <w:sz w:val="24"/>
          <w:szCs w:val="24"/>
        </w:rPr>
        <w:t>8</w:t>
      </w:r>
      <w:r w:rsidR="00B42D1D" w:rsidRPr="00B81AED">
        <w:rPr>
          <w:rFonts w:cs="Arial"/>
          <w:sz w:val="24"/>
          <w:szCs w:val="24"/>
          <w:vertAlign w:val="superscript"/>
        </w:rPr>
        <w:t>th</w:t>
      </w:r>
      <w:r w:rsidR="00B42D1D">
        <w:rPr>
          <w:rFonts w:cs="Arial"/>
          <w:sz w:val="24"/>
          <w:szCs w:val="24"/>
        </w:rPr>
        <w:t xml:space="preserve"> </w:t>
      </w:r>
      <w:r>
        <w:rPr>
          <w:rFonts w:cs="Arial"/>
          <w:sz w:val="24"/>
          <w:szCs w:val="24"/>
        </w:rPr>
        <w:t>April</w:t>
      </w:r>
      <w:r w:rsidR="00B42D1D">
        <w:rPr>
          <w:rFonts w:cs="Arial"/>
          <w:sz w:val="24"/>
          <w:szCs w:val="24"/>
        </w:rPr>
        <w:t xml:space="preserve"> – </w:t>
      </w:r>
      <w:r>
        <w:rPr>
          <w:rFonts w:cs="Arial"/>
          <w:sz w:val="24"/>
          <w:szCs w:val="24"/>
        </w:rPr>
        <w:t>12</w:t>
      </w:r>
      <w:r w:rsidRPr="000C5EDD">
        <w:rPr>
          <w:rFonts w:cs="Arial"/>
          <w:sz w:val="24"/>
          <w:szCs w:val="24"/>
          <w:vertAlign w:val="superscript"/>
        </w:rPr>
        <w:t>th</w:t>
      </w:r>
      <w:r w:rsidR="00B42D1D">
        <w:rPr>
          <w:rFonts w:cs="Arial"/>
          <w:sz w:val="24"/>
          <w:szCs w:val="24"/>
        </w:rPr>
        <w:t xml:space="preserve"> </w:t>
      </w:r>
      <w:r>
        <w:rPr>
          <w:rFonts w:cs="Arial"/>
          <w:sz w:val="24"/>
          <w:szCs w:val="24"/>
        </w:rPr>
        <w:t xml:space="preserve">April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4DDF95D4"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D16611">
        <w:rPr>
          <w:rFonts w:ascii="Arial" w:hAnsi="Arial"/>
          <w:sz w:val="24"/>
          <w:lang w:val="it-IT"/>
        </w:rPr>
        <w:t>8</w:t>
      </w:r>
      <w:r w:rsidR="008818F1">
        <w:rPr>
          <w:rFonts w:ascii="Arial" w:hAnsi="Arial"/>
          <w:sz w:val="24"/>
          <w:lang w:val="it-IT"/>
        </w:rPr>
        <w:t>.</w:t>
      </w:r>
      <w:r w:rsidR="00D16611">
        <w:rPr>
          <w:rFonts w:ascii="Arial" w:hAnsi="Arial"/>
          <w:sz w:val="24"/>
          <w:lang w:val="it-IT"/>
        </w:rPr>
        <w:t>2</w:t>
      </w:r>
      <w:r w:rsidR="008818F1">
        <w:rPr>
          <w:rFonts w:ascii="Arial" w:hAnsi="Arial"/>
          <w:sz w:val="24"/>
          <w:lang w:val="it-IT"/>
        </w:rPr>
        <w:t>.</w:t>
      </w:r>
      <w:r w:rsidR="00D16611">
        <w:rPr>
          <w:rFonts w:ascii="Arial" w:hAnsi="Arial"/>
          <w:sz w:val="24"/>
          <w:lang w:val="it-IT"/>
        </w:rPr>
        <w:t>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1D67715"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5EDD" w:rsidRPr="000C5EDD">
        <w:rPr>
          <w:rFonts w:ascii="Arial" w:hAnsi="Arial"/>
          <w:sz w:val="24"/>
          <w:lang w:val="en-US"/>
        </w:rPr>
        <w:t>Analysis of CLI impact on network performance</w:t>
      </w:r>
    </w:p>
    <w:p w14:paraId="48C5EFD4" w14:textId="0595CB3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C5EDD">
        <w:rPr>
          <w:rFonts w:ascii="Arial" w:hAnsi="Arial"/>
          <w:sz w:val="24"/>
          <w:lang w:val="en-US"/>
        </w:rPr>
        <w:t>Discussion</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194F02B1" w14:textId="1403F5C1" w:rsidR="000C5EDD" w:rsidRDefault="000C5EDD" w:rsidP="001A3A6C">
      <w:r w:rsidRPr="000C5EDD">
        <w:t>In RAN#82, a revised WI</w:t>
      </w:r>
      <w:r>
        <w:t>D</w:t>
      </w:r>
      <w:r w:rsidRPr="000C5EDD">
        <w:t xml:space="preserve"> on Cross Link Interference (CLI) handling and Remote Interference Management (RIM) for NR was approved</w:t>
      </w:r>
      <w:r>
        <w:t xml:space="preserve"> in </w:t>
      </w:r>
      <w:r>
        <w:fldChar w:fldCharType="begin"/>
      </w:r>
      <w:r>
        <w:instrText xml:space="preserve"> REF _Ref4485324 \n \h </w:instrText>
      </w:r>
      <w:r>
        <w:fldChar w:fldCharType="separate"/>
      </w:r>
      <w:r w:rsidR="0097308F">
        <w:t>[1]</w:t>
      </w:r>
      <w:r>
        <w:fldChar w:fldCharType="end"/>
      </w:r>
      <w:r>
        <w:t>. Among the objectives of the work item</w:t>
      </w:r>
      <w:r w:rsidR="001A3A6C">
        <w:t xml:space="preserve">, RAN4 is </w:t>
      </w:r>
      <w:r w:rsidR="00965ADA">
        <w:t>tasked</w:t>
      </w:r>
      <w:r w:rsidR="001A3A6C">
        <w:t xml:space="preserve"> to perform coexistence study to identify conditions of coexistence among different operators in adjacent channels targeting </w:t>
      </w:r>
      <w:r w:rsidR="001A3A6C" w:rsidRPr="001A3A6C">
        <w:t>no or very minimal impact on RF requirement</w:t>
      </w:r>
      <w:r w:rsidR="001A3A6C">
        <w:t>.</w:t>
      </w:r>
    </w:p>
    <w:p w14:paraId="325055E0" w14:textId="787E1CC7" w:rsidR="000D41EC" w:rsidRDefault="000D41EC" w:rsidP="001A3A6C">
      <w:r>
        <w:t xml:space="preserve">In the last RAN4#90 meeting in Athens, two documents were approved in </w:t>
      </w:r>
      <w:r>
        <w:fldChar w:fldCharType="begin"/>
      </w:r>
      <w:r>
        <w:instrText xml:space="preserve"> REF _Ref4486364 \n \h </w:instrText>
      </w:r>
      <w:r>
        <w:fldChar w:fldCharType="separate"/>
      </w:r>
      <w:r w:rsidR="0097308F">
        <w:t>[2]</w:t>
      </w:r>
      <w:r>
        <w:fldChar w:fldCharType="end"/>
      </w:r>
      <w:r>
        <w:t xml:space="preserve"> and </w:t>
      </w:r>
      <w:r>
        <w:fldChar w:fldCharType="begin"/>
      </w:r>
      <w:r>
        <w:instrText xml:space="preserve"> REF _Ref4486365 \n \h </w:instrText>
      </w:r>
      <w:r>
        <w:fldChar w:fldCharType="separate"/>
      </w:r>
      <w:r w:rsidR="0097308F">
        <w:t>[3]</w:t>
      </w:r>
      <w:r>
        <w:fldChar w:fldCharType="end"/>
      </w:r>
      <w:r>
        <w:t xml:space="preserve"> that list simulation assumptions and scenarios for CLI co-existence studies either in FR1 and FR2. </w:t>
      </w:r>
    </w:p>
    <w:p w14:paraId="5F9B1A1A" w14:textId="63DEB304" w:rsidR="00990D04" w:rsidRDefault="00990D04" w:rsidP="001A3A6C">
      <w:r>
        <w:t>In this contribution we analyse the impact o</w:t>
      </w:r>
      <w:r w:rsidR="00CD796E">
        <w:t>f</w:t>
      </w:r>
      <w:r>
        <w:t xml:space="preserve"> UE-to-UE CLI interference on network performance considering the synchronous (without dynamic TDD) scenario as the baseline. </w:t>
      </w:r>
      <w:r w:rsidR="004F6596">
        <w:t>SINR</w:t>
      </w:r>
      <w:r>
        <w:t xml:space="preserve"> CDF will be considered as the metric for comparison with baseline performance</w:t>
      </w:r>
      <w:r w:rsidR="004F6596">
        <w:t>.</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41C6BE23" w14:textId="1A0ADE21" w:rsidR="004C0975" w:rsidRDefault="003D6F16" w:rsidP="00B42D1D">
      <w:r>
        <w:t xml:space="preserve">In this paper we study the impact of dynamic TDD on </w:t>
      </w:r>
      <w:r w:rsidR="004C0975">
        <w:t xml:space="preserve">baseline </w:t>
      </w:r>
      <w:r>
        <w:t xml:space="preserve">network </w:t>
      </w:r>
      <w:r w:rsidR="006459CD">
        <w:t>SINR</w:t>
      </w:r>
      <w:r>
        <w:t xml:space="preserve"> performance</w:t>
      </w:r>
      <w:r w:rsidR="004C0975">
        <w:t xml:space="preserve"> </w:t>
      </w:r>
      <w:r w:rsidR="005176A7">
        <w:t>for</w:t>
      </w:r>
      <w:r w:rsidR="007E3545">
        <w:t xml:space="preserve"> which</w:t>
      </w:r>
      <w:r>
        <w:t xml:space="preserve"> the </w:t>
      </w:r>
      <w:r w:rsidR="004C0975">
        <w:t xml:space="preserve">aggressor network in adjacent channel has the same duplex direction of the victim network. </w:t>
      </w:r>
      <w:proofErr w:type="gramStart"/>
      <w:r w:rsidR="004C0975">
        <w:t>In particular we</w:t>
      </w:r>
      <w:proofErr w:type="gramEnd"/>
      <w:r w:rsidR="004C0975">
        <w:t xml:space="preserve"> will focus on the</w:t>
      </w:r>
      <w:r w:rsidR="00CD796E">
        <w:t xml:space="preserve"> </w:t>
      </w:r>
      <w:r w:rsidR="0035091D">
        <w:t>time</w:t>
      </w:r>
      <w:r w:rsidR="004C0975">
        <w:t xml:space="preserve"> </w:t>
      </w:r>
      <w:r w:rsidR="00CD796E">
        <w:t>instances</w:t>
      </w:r>
      <w:r w:rsidR="004C0975">
        <w:t xml:space="preserve"> where the victim network is transmitting in DL whereas the aggressor network in adjacent channel </w:t>
      </w:r>
      <w:r w:rsidR="00CD796E">
        <w:t xml:space="preserve">has </w:t>
      </w:r>
      <w:r w:rsidR="004C0975">
        <w:t>UL</w:t>
      </w:r>
      <w:r w:rsidR="00CD796E">
        <w:t xml:space="preserve"> duplex direction</w:t>
      </w:r>
      <w:r w:rsidR="004C0975">
        <w:t>. In this special case, UE-to-UE CLI arises in various magnitudes that are highly depend</w:t>
      </w:r>
      <w:r w:rsidR="006459CD">
        <w:t>e</w:t>
      </w:r>
      <w:r w:rsidR="004C0975">
        <w:t>nt on the deployment scenario that we consider.</w:t>
      </w:r>
      <w:r w:rsidR="00DF22AE">
        <w:t xml:space="preserve"> For example, an indoor deployment is characterized by several UEs very close to each other but with relatively low transmitted power whereas an outdoor Macro deployment is usually characterized by farther UEs that transmit with relatively higher power. Since it is not easy to foresee the outcome in terms of CLI, in the following we present </w:t>
      </w:r>
      <w:r w:rsidR="001E3B53">
        <w:t xml:space="preserve">an analysis based on </w:t>
      </w:r>
      <w:proofErr w:type="spellStart"/>
      <w:r w:rsidR="001E3B53">
        <w:t>Montecarlo</w:t>
      </w:r>
      <w:proofErr w:type="spellEnd"/>
      <w:r w:rsidR="001E3B53">
        <w:t xml:space="preserve"> simulations that gives an indication of the amount of UE-to-UE CLI interference in each </w:t>
      </w:r>
      <w:r w:rsidR="006459CD">
        <w:t>network</w:t>
      </w:r>
      <w:r w:rsidR="001E3B53">
        <w:t xml:space="preserve"> deployment scenario.</w:t>
      </w:r>
    </w:p>
    <w:p w14:paraId="01BAC65A" w14:textId="6B8D8248" w:rsidR="00CE059E" w:rsidRDefault="00CE059E" w:rsidP="00B42D1D">
      <w:r>
        <w:t xml:space="preserve">In alignment with what agreed in </w:t>
      </w:r>
      <w:r>
        <w:fldChar w:fldCharType="begin"/>
      </w:r>
      <w:r>
        <w:instrText xml:space="preserve"> REF _Ref4486365 \n \h </w:instrText>
      </w:r>
      <w:r>
        <w:fldChar w:fldCharType="separate"/>
      </w:r>
      <w:r w:rsidR="0097308F">
        <w:t>[3]</w:t>
      </w:r>
      <w:r>
        <w:fldChar w:fldCharType="end"/>
      </w:r>
      <w:r>
        <w:t xml:space="preserve">, </w:t>
      </w:r>
      <w:r w:rsidRPr="00CD796E">
        <w:t>the following deployment scenarios will</w:t>
      </w:r>
      <w:r>
        <w:t xml:space="preserve"> be considered:</w:t>
      </w:r>
    </w:p>
    <w:p w14:paraId="5AA5C61B" w14:textId="66D11510" w:rsidR="00CD4F40" w:rsidRDefault="00CD4F40" w:rsidP="00CD4F40">
      <w:pPr>
        <w:pStyle w:val="ListParagraph"/>
        <w:numPr>
          <w:ilvl w:val="0"/>
          <w:numId w:val="36"/>
        </w:numPr>
      </w:pPr>
      <w:r w:rsidRPr="00CD4F40">
        <w:rPr>
          <w:b/>
        </w:rPr>
        <w:t>Macro-to-Macro (FR1</w:t>
      </w:r>
      <w:r>
        <w:t xml:space="preserve"> </w:t>
      </w:r>
      <w:r w:rsidRPr="00CD4F40">
        <w:rPr>
          <w:b/>
        </w:rPr>
        <w:t>and FR2)</w:t>
      </w:r>
    </w:p>
    <w:p w14:paraId="7E220729" w14:textId="517C3A4E" w:rsidR="00CD4F40" w:rsidRDefault="00CD4F40" w:rsidP="00CD4F40">
      <w:pPr>
        <w:pStyle w:val="ListParagraph"/>
        <w:numPr>
          <w:ilvl w:val="0"/>
          <w:numId w:val="36"/>
        </w:numPr>
      </w:pPr>
      <w:r w:rsidRPr="00CD4F40">
        <w:rPr>
          <w:b/>
        </w:rPr>
        <w:t>Micro-to-Micro (FR2)</w:t>
      </w:r>
    </w:p>
    <w:p w14:paraId="33E9EADC" w14:textId="4880347C" w:rsidR="00CD4F40" w:rsidRDefault="00CD4F40" w:rsidP="00CD4F40">
      <w:pPr>
        <w:pStyle w:val="ListParagraph"/>
        <w:numPr>
          <w:ilvl w:val="0"/>
          <w:numId w:val="36"/>
        </w:numPr>
      </w:pPr>
      <w:r w:rsidRPr="00CD4F40">
        <w:rPr>
          <w:b/>
        </w:rPr>
        <w:t>Macro-to-Indoor (FR1)</w:t>
      </w:r>
    </w:p>
    <w:p w14:paraId="796A53DC" w14:textId="709C54FA" w:rsidR="00CD4F40" w:rsidRDefault="00CD4F40" w:rsidP="00CD4F40">
      <w:pPr>
        <w:pStyle w:val="ListParagraph"/>
        <w:numPr>
          <w:ilvl w:val="0"/>
          <w:numId w:val="36"/>
        </w:numPr>
      </w:pPr>
      <w:r w:rsidRPr="00CD4F40">
        <w:rPr>
          <w:b/>
        </w:rPr>
        <w:t>Indoor-to-Indoor (FR1 and FR2)</w:t>
      </w:r>
    </w:p>
    <w:p w14:paraId="58D3CB7A" w14:textId="0D1B4622" w:rsidR="00B67239" w:rsidRPr="001E3B53" w:rsidRDefault="00C05884" w:rsidP="00032A47">
      <w:r>
        <w:t xml:space="preserve">For each scenario, deployment details and simulation assumptions are aligned with </w:t>
      </w:r>
      <w:r>
        <w:fldChar w:fldCharType="begin"/>
      </w:r>
      <w:r>
        <w:instrText xml:space="preserve"> REF _Ref4486364 \n \h </w:instrText>
      </w:r>
      <w:r>
        <w:fldChar w:fldCharType="separate"/>
      </w:r>
      <w:r w:rsidR="0097308F">
        <w:t>[2]</w:t>
      </w:r>
      <w:r>
        <w:fldChar w:fldCharType="end"/>
      </w:r>
      <w:r>
        <w:t xml:space="preserve">. </w:t>
      </w:r>
      <w:r w:rsidR="00723783">
        <w:t>In case of dynamic TDD, t</w:t>
      </w:r>
      <w:r w:rsidR="00B67239">
        <w:t xml:space="preserve">he adjacent channel will be characterized by a value of ACIR </w:t>
      </w:r>
      <w:r>
        <w:t>that</w:t>
      </w:r>
      <w:r w:rsidR="00B67239">
        <w:t xml:space="preserve"> depend</w:t>
      </w:r>
      <w:r>
        <w:t xml:space="preserve">s </w:t>
      </w:r>
      <w:r w:rsidR="00B67239">
        <w:t xml:space="preserve">on the frequency range (FR1/FR2) </w:t>
      </w:r>
      <w:r>
        <w:t xml:space="preserve">used in </w:t>
      </w:r>
      <w:r w:rsidR="00B67239">
        <w:t xml:space="preserve">the simulation. </w:t>
      </w:r>
      <w:r w:rsidR="000E7F96">
        <w:t>T</w:t>
      </w:r>
      <w:r w:rsidR="00B67239">
        <w:t>he currently defined values of ACLR and ACS</w:t>
      </w:r>
      <w:r w:rsidR="000E7F96">
        <w:t xml:space="preserve"> result in 16dB ACIR in FR2 and 28dB ACIR in FR1 </w:t>
      </w:r>
      <w:r w:rsidR="00700296">
        <w:t>for</w:t>
      </w:r>
      <w:r w:rsidR="000E7F96">
        <w:t xml:space="preserve"> the case of UE-to-UE cross-link interference. </w:t>
      </w:r>
      <w:r w:rsidR="00700296">
        <w:t>These</w:t>
      </w:r>
      <w:r w:rsidR="000E7F96">
        <w:t xml:space="preserve"> values </w:t>
      </w:r>
      <w:r w:rsidR="00700296">
        <w:t>were used to obtain the</w:t>
      </w:r>
      <w:r w:rsidR="000E7F96">
        <w:t xml:space="preserve"> </w:t>
      </w:r>
      <w:r w:rsidR="00700296">
        <w:t>results presented in this paper</w:t>
      </w:r>
      <w:r w:rsidR="000E7F96">
        <w:t>.</w:t>
      </w:r>
    </w:p>
    <w:p w14:paraId="10825091" w14:textId="47253E4A" w:rsidR="00D47850" w:rsidRDefault="00596287" w:rsidP="00F92432">
      <w:pPr>
        <w:pStyle w:val="Heading1"/>
        <w:rPr>
          <w:lang w:val="en-US"/>
        </w:rPr>
      </w:pPr>
      <w:r>
        <w:rPr>
          <w:lang w:val="en-US"/>
        </w:rPr>
        <w:t xml:space="preserve">FR2 </w:t>
      </w:r>
      <w:r w:rsidR="00F92432">
        <w:rPr>
          <w:lang w:val="en-US"/>
        </w:rPr>
        <w:t>Simulation Results</w:t>
      </w:r>
    </w:p>
    <w:p w14:paraId="0D55BF98" w14:textId="4F7F2E1A" w:rsidR="00F92432" w:rsidRDefault="00F92432" w:rsidP="00F92432">
      <w:pPr>
        <w:pStyle w:val="Heading2"/>
        <w:rPr>
          <w:lang w:val="en-US"/>
        </w:rPr>
      </w:pPr>
      <w:r>
        <w:rPr>
          <w:lang w:val="en-US"/>
        </w:rPr>
        <w:t>Urban Macro to Urban Macro</w:t>
      </w:r>
    </w:p>
    <w:p w14:paraId="5D1873A2" w14:textId="1628C6E3" w:rsidR="007F7C21" w:rsidRDefault="00CE7D78" w:rsidP="007F7C21">
      <w:pPr>
        <w:rPr>
          <w:lang w:val="en-US"/>
        </w:rPr>
      </w:pPr>
      <w:r>
        <w:rPr>
          <w:lang w:val="en-US"/>
        </w:rPr>
        <w:t xml:space="preserve">This section presents a comparison in terms of </w:t>
      </w:r>
      <w:r w:rsidR="006459CD">
        <w:rPr>
          <w:lang w:val="en-US"/>
        </w:rPr>
        <w:t>SINR</w:t>
      </w:r>
      <w:r>
        <w:rPr>
          <w:lang w:val="en-US"/>
        </w:rPr>
        <w:t xml:space="preserve"> performance in the presence of another operator operating in adjacent frequency channel for an Urban Macro deployment characterized by 25m height tri-sectorial base stations deployed in </w:t>
      </w:r>
      <w:r w:rsidR="00596287">
        <w:rPr>
          <w:lang w:val="en-US"/>
        </w:rPr>
        <w:t>a</w:t>
      </w:r>
      <w:r>
        <w:rPr>
          <w:lang w:val="en-US"/>
        </w:rPr>
        <w:t xml:space="preserve"> hexagonal grid</w:t>
      </w:r>
      <w:r w:rsidR="00596287">
        <w:rPr>
          <w:lang w:val="en-US"/>
        </w:rPr>
        <w:t xml:space="preserve"> in FR2</w:t>
      </w:r>
      <w:r>
        <w:rPr>
          <w:lang w:val="en-US"/>
        </w:rPr>
        <w:t xml:space="preserve">. </w:t>
      </w:r>
      <w:r w:rsidR="002212B6">
        <w:rPr>
          <w:lang w:val="en-US"/>
        </w:rPr>
        <w:fldChar w:fldCharType="begin"/>
      </w:r>
      <w:r w:rsidR="002212B6">
        <w:rPr>
          <w:lang w:val="en-US"/>
        </w:rPr>
        <w:instrText xml:space="preserve"> REF _Ref5010982 \h </w:instrText>
      </w:r>
      <w:r w:rsidR="002212B6">
        <w:rPr>
          <w:lang w:val="en-US"/>
        </w:rPr>
      </w:r>
      <w:r w:rsidR="002212B6">
        <w:rPr>
          <w:lang w:val="en-US"/>
        </w:rPr>
        <w:fldChar w:fldCharType="separate"/>
      </w:r>
      <w:r w:rsidR="002212B6">
        <w:t xml:space="preserve">Figure </w:t>
      </w:r>
      <w:r w:rsidR="002212B6">
        <w:rPr>
          <w:noProof/>
        </w:rPr>
        <w:t>1</w:t>
      </w:r>
      <w:r w:rsidR="002212B6">
        <w:rPr>
          <w:lang w:val="en-US"/>
        </w:rPr>
        <w:fldChar w:fldCharType="end"/>
      </w:r>
      <w:r>
        <w:rPr>
          <w:lang w:val="en-US"/>
        </w:rPr>
        <w:fldChar w:fldCharType="begin"/>
      </w:r>
      <w:r>
        <w:rPr>
          <w:lang w:val="en-US"/>
        </w:rPr>
        <w:instrText xml:space="preserve"> REF _Ref5008798 \h </w:instrText>
      </w:r>
      <w:r>
        <w:rPr>
          <w:lang w:val="en-US"/>
        </w:rPr>
      </w:r>
      <w:r>
        <w:rPr>
          <w:lang w:val="en-US"/>
        </w:rPr>
        <w:fldChar w:fldCharType="end"/>
      </w:r>
      <w:r>
        <w:rPr>
          <w:lang w:val="en-US"/>
        </w:rPr>
        <w:t xml:space="preserve"> shows a comparison between the two cases of non-dynamic TDD (baseline performance) and </w:t>
      </w:r>
      <w:r w:rsidR="00AB0A00">
        <w:rPr>
          <w:lang w:val="en-US"/>
        </w:rPr>
        <w:t xml:space="preserve">dynamic </w:t>
      </w:r>
      <w:r>
        <w:rPr>
          <w:lang w:val="en-US"/>
        </w:rPr>
        <w:t xml:space="preserve">TDD (CLI performance). From the picture </w:t>
      </w:r>
      <w:r w:rsidR="009C0B66">
        <w:rPr>
          <w:lang w:val="en-US"/>
        </w:rPr>
        <w:t>we see</w:t>
      </w:r>
      <w:r>
        <w:rPr>
          <w:lang w:val="en-US"/>
        </w:rPr>
        <w:t xml:space="preserve"> that </w:t>
      </w:r>
      <w:r w:rsidR="009C0B66">
        <w:rPr>
          <w:lang w:val="en-US"/>
        </w:rPr>
        <w:t xml:space="preserve">network </w:t>
      </w:r>
      <w:r>
        <w:rPr>
          <w:lang w:val="en-US"/>
        </w:rPr>
        <w:t>performance with UE-to-UE</w:t>
      </w:r>
      <w:r w:rsidR="002C6A07">
        <w:rPr>
          <w:lang w:val="en-US"/>
        </w:rPr>
        <w:t xml:space="preserve"> adjacent channel</w:t>
      </w:r>
      <w:r>
        <w:rPr>
          <w:lang w:val="en-US"/>
        </w:rPr>
        <w:t xml:space="preserve"> interference</w:t>
      </w:r>
      <w:r w:rsidR="009C0B66">
        <w:rPr>
          <w:lang w:val="en-US"/>
        </w:rPr>
        <w:t xml:space="preserve"> is slightly better than baseline performance.</w:t>
      </w:r>
    </w:p>
    <w:p w14:paraId="6B43FFE2" w14:textId="1E8918F9" w:rsidR="009C0B66" w:rsidRDefault="00596287" w:rsidP="007F7C21">
      <w:pPr>
        <w:rPr>
          <w:lang w:val="en-US"/>
        </w:rPr>
      </w:pPr>
      <w:r>
        <w:rPr>
          <w:lang w:val="en-US"/>
        </w:rPr>
        <w:lastRenderedPageBreak/>
        <w:t xml:space="preserve">In order to draw a complete picture of the situation, </w:t>
      </w:r>
      <w:r>
        <w:rPr>
          <w:lang w:val="en-US"/>
        </w:rPr>
        <w:fldChar w:fldCharType="begin"/>
      </w:r>
      <w:r>
        <w:rPr>
          <w:lang w:val="en-US"/>
        </w:rPr>
        <w:instrText xml:space="preserve"> REF _Ref5010849 \h </w:instrText>
      </w:r>
      <w:r>
        <w:rPr>
          <w:lang w:val="en-US"/>
        </w:rPr>
      </w:r>
      <w:r>
        <w:rPr>
          <w:lang w:val="en-US"/>
        </w:rPr>
        <w:fldChar w:fldCharType="separate"/>
      </w:r>
      <w:r w:rsidR="0097308F">
        <w:t xml:space="preserve">Figure </w:t>
      </w:r>
      <w:r w:rsidR="0097308F">
        <w:rPr>
          <w:noProof/>
        </w:rPr>
        <w:t>2</w:t>
      </w:r>
      <w:r>
        <w:rPr>
          <w:lang w:val="en-US"/>
        </w:rPr>
        <w:fldChar w:fldCharType="end"/>
      </w:r>
      <w:r>
        <w:rPr>
          <w:lang w:val="en-US"/>
        </w:rPr>
        <w:t xml:space="preserve"> shows a comparison of adjacent channel interference distributions obtained according to the agreed assumptions in </w:t>
      </w:r>
      <w:r>
        <w:rPr>
          <w:lang w:val="en-US"/>
        </w:rPr>
        <w:fldChar w:fldCharType="begin"/>
      </w:r>
      <w:r>
        <w:rPr>
          <w:lang w:val="en-US"/>
        </w:rPr>
        <w:instrText xml:space="preserve"> REF _Ref4486364 \n \h </w:instrText>
      </w:r>
      <w:r>
        <w:rPr>
          <w:lang w:val="en-US"/>
        </w:rPr>
      </w:r>
      <w:r>
        <w:rPr>
          <w:lang w:val="en-US"/>
        </w:rPr>
        <w:fldChar w:fldCharType="separate"/>
      </w:r>
      <w:r w:rsidR="0097308F">
        <w:rPr>
          <w:lang w:val="en-US"/>
        </w:rPr>
        <w:t>[2]</w:t>
      </w:r>
      <w:r>
        <w:rPr>
          <w:lang w:val="en-US"/>
        </w:rPr>
        <w:fldChar w:fldCharType="end"/>
      </w:r>
      <w:r>
        <w:rPr>
          <w:lang w:val="en-US"/>
        </w:rPr>
        <w:t xml:space="preserve">. Notice that in this case, the gap is much larger compared to what observed in </w:t>
      </w:r>
      <w:r>
        <w:rPr>
          <w:lang w:val="en-US"/>
        </w:rPr>
        <w:fldChar w:fldCharType="begin"/>
      </w:r>
      <w:r>
        <w:rPr>
          <w:lang w:val="en-US"/>
        </w:rPr>
        <w:instrText xml:space="preserve"> REF _Ref5010982 \h </w:instrText>
      </w:r>
      <w:r>
        <w:rPr>
          <w:lang w:val="en-US"/>
        </w:rPr>
      </w:r>
      <w:r>
        <w:rPr>
          <w:lang w:val="en-US"/>
        </w:rPr>
        <w:fldChar w:fldCharType="separate"/>
      </w:r>
      <w:r w:rsidR="0097308F">
        <w:t xml:space="preserve">Figure </w:t>
      </w:r>
      <w:r w:rsidR="0097308F">
        <w:rPr>
          <w:noProof/>
        </w:rPr>
        <w:t>1</w:t>
      </w:r>
      <w:r>
        <w:rPr>
          <w:lang w:val="en-US"/>
        </w:rPr>
        <w:fldChar w:fldCharType="end"/>
      </w:r>
      <w:r>
        <w:rPr>
          <w:lang w:val="en-US"/>
        </w:rPr>
        <w:t xml:space="preserve">. This discrepancy can be explained noticing that, in both </w:t>
      </w:r>
      <w:r w:rsidR="00AB0A00">
        <w:rPr>
          <w:lang w:val="en-US"/>
        </w:rPr>
        <w:t xml:space="preserve">dynamic </w:t>
      </w:r>
      <w:r>
        <w:rPr>
          <w:lang w:val="en-US"/>
        </w:rPr>
        <w:t>TDD and non-</w:t>
      </w:r>
      <w:r w:rsidR="00AB0A00">
        <w:rPr>
          <w:lang w:val="en-US"/>
        </w:rPr>
        <w:t xml:space="preserve">dynamic </w:t>
      </w:r>
      <w:r>
        <w:rPr>
          <w:lang w:val="en-US"/>
        </w:rPr>
        <w:t>TDD cases, network performance is limited by the co-channel interference rather than adjacent channel with the assumed values of ACIR. This result comes indeed at no surprise when we observe that the current value</w:t>
      </w:r>
      <w:r w:rsidR="009A384E">
        <w:rPr>
          <w:lang w:val="en-US"/>
        </w:rPr>
        <w:t>s of ACLR/ACS were derived assuming 5% maximum degradation of no-ACI channel performance when adjacent channel interferer is present.</w:t>
      </w:r>
    </w:p>
    <w:p w14:paraId="31A83310" w14:textId="3A33CCFD" w:rsidR="009A384E" w:rsidRDefault="009A384E" w:rsidP="007F7C21">
      <w:pPr>
        <w:rPr>
          <w:lang w:val="en-US"/>
        </w:rPr>
      </w:pPr>
      <w:r>
        <w:rPr>
          <w:lang w:val="en-US"/>
        </w:rPr>
        <w:t>Based on these observations, we conclude that</w:t>
      </w:r>
      <w:r w:rsidR="00AB0A00">
        <w:rPr>
          <w:lang w:val="en-US"/>
        </w:rPr>
        <w:t xml:space="preserve"> dynamic</w:t>
      </w:r>
      <w:r>
        <w:rPr>
          <w:lang w:val="en-US"/>
        </w:rPr>
        <w:t xml:space="preserve"> TDD operation is possible in the </w:t>
      </w:r>
      <w:proofErr w:type="spellStart"/>
      <w:r>
        <w:rPr>
          <w:lang w:val="en-US"/>
        </w:rPr>
        <w:t>UMa</w:t>
      </w:r>
      <w:proofErr w:type="spellEnd"/>
      <w:r>
        <w:rPr>
          <w:lang w:val="en-US"/>
        </w:rPr>
        <w:t>-to-</w:t>
      </w:r>
      <w:proofErr w:type="spellStart"/>
      <w:r>
        <w:rPr>
          <w:lang w:val="en-US"/>
        </w:rPr>
        <w:t>UMa</w:t>
      </w:r>
      <w:proofErr w:type="spellEnd"/>
      <w:r>
        <w:rPr>
          <w:lang w:val="en-US"/>
        </w:rPr>
        <w:t xml:space="preserve"> deployment scenario at least from a UE-to-UE interference point of view. Even in</w:t>
      </w:r>
      <w:r w:rsidR="004D53A2">
        <w:rPr>
          <w:lang w:val="en-US"/>
        </w:rPr>
        <w:t xml:space="preserve"> more challenging</w:t>
      </w:r>
      <w:r>
        <w:rPr>
          <w:lang w:val="en-US"/>
        </w:rPr>
        <w:t xml:space="preserve"> cases </w:t>
      </w:r>
      <w:r w:rsidR="004D53A2">
        <w:rPr>
          <w:lang w:val="en-US"/>
        </w:rPr>
        <w:t>such as, for example,</w:t>
      </w:r>
      <w:r>
        <w:rPr>
          <w:lang w:val="en-US"/>
        </w:rPr>
        <w:t xml:space="preserve"> multiple UEs per cell are served simultaneously we expect</w:t>
      </w:r>
      <w:r w:rsidR="004D53A2">
        <w:rPr>
          <w:lang w:val="en-US"/>
        </w:rPr>
        <w:t xml:space="preserve"> there is enough margin to </w:t>
      </w:r>
      <w:r w:rsidR="001C4BB4">
        <w:rPr>
          <w:lang w:val="en-US"/>
        </w:rPr>
        <w:t>enable</w:t>
      </w:r>
      <w:r w:rsidR="004D53A2">
        <w:rPr>
          <w:lang w:val="en-US"/>
        </w:rPr>
        <w:t xml:space="preserve"> </w:t>
      </w:r>
      <w:r w:rsidR="00D958C6">
        <w:rPr>
          <w:lang w:val="en-US"/>
        </w:rPr>
        <w:t xml:space="preserve">dynamic </w:t>
      </w:r>
      <w:r w:rsidR="004D53A2">
        <w:rPr>
          <w:lang w:val="en-US"/>
        </w:rPr>
        <w:t>TDD.</w:t>
      </w:r>
    </w:p>
    <w:p w14:paraId="60746C1B" w14:textId="2C14A0B8" w:rsidR="00CE7D78" w:rsidRDefault="00D71F68" w:rsidP="00CE7D78">
      <w:pPr>
        <w:keepNext/>
        <w:jc w:val="center"/>
      </w:pPr>
      <w:r w:rsidRPr="00D71F68">
        <w:rPr>
          <w:noProof/>
        </w:rPr>
        <w:drawing>
          <wp:inline distT="0" distB="0" distL="0" distR="0" wp14:anchorId="1525328F" wp14:editId="44F48482">
            <wp:extent cx="5323200" cy="3992400"/>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3200" cy="3992400"/>
                    </a:xfrm>
                    <a:prstGeom prst="rect">
                      <a:avLst/>
                    </a:prstGeom>
                    <a:noFill/>
                    <a:ln>
                      <a:noFill/>
                    </a:ln>
                  </pic:spPr>
                </pic:pic>
              </a:graphicData>
            </a:graphic>
          </wp:inline>
        </w:drawing>
      </w:r>
    </w:p>
    <w:p w14:paraId="62EDADC0" w14:textId="26186721" w:rsidR="00CE7D78" w:rsidRDefault="00CE7D78" w:rsidP="00CE7D78">
      <w:pPr>
        <w:pStyle w:val="Caption"/>
        <w:jc w:val="center"/>
      </w:pPr>
      <w:bookmarkStart w:id="1" w:name="_Ref5010982"/>
      <w:r>
        <w:t xml:space="preserve">Figure </w:t>
      </w:r>
      <w:r>
        <w:fldChar w:fldCharType="begin"/>
      </w:r>
      <w:r>
        <w:instrText xml:space="preserve"> SEQ Figure \* ARABIC </w:instrText>
      </w:r>
      <w:r>
        <w:fldChar w:fldCharType="separate"/>
      </w:r>
      <w:r w:rsidR="0097308F">
        <w:rPr>
          <w:noProof/>
        </w:rPr>
        <w:t>1</w:t>
      </w:r>
      <w:r>
        <w:fldChar w:fldCharType="end"/>
      </w:r>
      <w:bookmarkEnd w:id="1"/>
      <w:r>
        <w:t xml:space="preserve">. Comparison of </w:t>
      </w:r>
      <w:r w:rsidR="004F6596">
        <w:t>SINR</w:t>
      </w:r>
      <w:r>
        <w:t xml:space="preserve"> performance with ACI</w:t>
      </w:r>
      <w:r w:rsidR="002C146C">
        <w:t xml:space="preserve"> in </w:t>
      </w:r>
      <w:proofErr w:type="spellStart"/>
      <w:r w:rsidR="002C146C">
        <w:t>UMa</w:t>
      </w:r>
      <w:proofErr w:type="spellEnd"/>
      <w:r w:rsidR="002C146C">
        <w:t>-to-</w:t>
      </w:r>
      <w:proofErr w:type="spellStart"/>
      <w:r w:rsidR="002C146C">
        <w:t>UMa</w:t>
      </w:r>
      <w:proofErr w:type="spellEnd"/>
      <w:r w:rsidR="002C146C">
        <w:t xml:space="preserve"> scenario</w:t>
      </w:r>
    </w:p>
    <w:p w14:paraId="1841697C" w14:textId="207880EE" w:rsidR="009C0B66" w:rsidRDefault="009C0B66" w:rsidP="009C0B66"/>
    <w:p w14:paraId="6C60119C" w14:textId="00ADE531" w:rsidR="009C0B66" w:rsidRDefault="00D71F68" w:rsidP="009C0B66">
      <w:pPr>
        <w:keepNext/>
        <w:jc w:val="center"/>
      </w:pPr>
      <w:r w:rsidRPr="00D71F68">
        <w:rPr>
          <w:noProof/>
        </w:rPr>
        <w:lastRenderedPageBreak/>
        <w:drawing>
          <wp:inline distT="0" distB="0" distL="0" distR="0" wp14:anchorId="16B1838E" wp14:editId="4B46CE59">
            <wp:extent cx="5324400" cy="399330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00" cy="3993300"/>
                    </a:xfrm>
                    <a:prstGeom prst="rect">
                      <a:avLst/>
                    </a:prstGeom>
                    <a:noFill/>
                    <a:ln>
                      <a:noFill/>
                    </a:ln>
                  </pic:spPr>
                </pic:pic>
              </a:graphicData>
            </a:graphic>
          </wp:inline>
        </w:drawing>
      </w:r>
    </w:p>
    <w:p w14:paraId="71BF33BB" w14:textId="41CD7352" w:rsidR="009C0B66" w:rsidRDefault="009C0B66" w:rsidP="00526C00">
      <w:pPr>
        <w:pStyle w:val="Caption"/>
        <w:jc w:val="center"/>
      </w:pPr>
      <w:bookmarkStart w:id="2" w:name="_Ref5010849"/>
      <w:r>
        <w:t xml:space="preserve">Figure </w:t>
      </w:r>
      <w:r>
        <w:fldChar w:fldCharType="begin"/>
      </w:r>
      <w:r>
        <w:instrText xml:space="preserve"> SEQ Figure \* ARABIC </w:instrText>
      </w:r>
      <w:r>
        <w:fldChar w:fldCharType="separate"/>
      </w:r>
      <w:r w:rsidR="0097308F">
        <w:rPr>
          <w:noProof/>
        </w:rPr>
        <w:t>2</w:t>
      </w:r>
      <w:r>
        <w:fldChar w:fldCharType="end"/>
      </w:r>
      <w:bookmarkEnd w:id="2"/>
      <w:r>
        <w:t>. Adjacent Channel Interference Distribution. Comparison between TDD operation (UE-to-UE interference - red dashed curve) and non-TDD operation (</w:t>
      </w:r>
      <w:proofErr w:type="spellStart"/>
      <w:r>
        <w:t>gNB</w:t>
      </w:r>
      <w:proofErr w:type="spellEnd"/>
      <w:r>
        <w:t>-to-UE interfer</w:t>
      </w:r>
      <w:r w:rsidR="00D04FF5">
        <w:t>e</w:t>
      </w:r>
      <w:r>
        <w:t>nce - blue curve)</w:t>
      </w:r>
    </w:p>
    <w:p w14:paraId="49B7C30C" w14:textId="77777777" w:rsidR="004D53A2" w:rsidRPr="009C0B66" w:rsidRDefault="004D53A2" w:rsidP="009C0B66"/>
    <w:p w14:paraId="1B6321D4" w14:textId="588D4055" w:rsidR="00F92432" w:rsidRDefault="00F92432" w:rsidP="00F92432">
      <w:pPr>
        <w:pStyle w:val="Heading2"/>
        <w:rPr>
          <w:lang w:val="en-US"/>
        </w:rPr>
      </w:pPr>
      <w:r>
        <w:rPr>
          <w:lang w:val="en-US"/>
        </w:rPr>
        <w:t>Urban Micro to Urban Micro</w:t>
      </w:r>
    </w:p>
    <w:p w14:paraId="14FD67D4" w14:textId="0216FC83" w:rsidR="00526C00" w:rsidRDefault="00526C00" w:rsidP="00526C00">
      <w:pPr>
        <w:rPr>
          <w:lang w:val="en-US"/>
        </w:rPr>
      </w:pPr>
      <w:r>
        <w:rPr>
          <w:lang w:val="en-US"/>
        </w:rPr>
        <w:t xml:space="preserve">This section presents a comparison in terms of </w:t>
      </w:r>
      <w:r w:rsidR="006459CD">
        <w:rPr>
          <w:lang w:val="en-US"/>
        </w:rPr>
        <w:t>SINR</w:t>
      </w:r>
      <w:r>
        <w:rPr>
          <w:lang w:val="en-US"/>
        </w:rPr>
        <w:t xml:space="preserve"> performance in the presence of another operator operating in adjacent frequency channel for an Urban Micro deployment characterized by randomly dropped base station hotspots in macro cells. The considered operating range is still FR2. </w:t>
      </w:r>
      <w:r>
        <w:rPr>
          <w:lang w:val="en-US"/>
        </w:rPr>
        <w:fldChar w:fldCharType="begin"/>
      </w:r>
      <w:r>
        <w:rPr>
          <w:lang w:val="en-US"/>
        </w:rPr>
        <w:instrText xml:space="preserve"> REF _Ref5012860 \h </w:instrText>
      </w:r>
      <w:r>
        <w:rPr>
          <w:lang w:val="en-US"/>
        </w:rPr>
      </w:r>
      <w:r>
        <w:rPr>
          <w:lang w:val="en-US"/>
        </w:rPr>
        <w:fldChar w:fldCharType="separate"/>
      </w:r>
      <w:r w:rsidR="0097308F">
        <w:t xml:space="preserve">Figure </w:t>
      </w:r>
      <w:r w:rsidR="0097308F">
        <w:rPr>
          <w:noProof/>
        </w:rPr>
        <w:t>3</w:t>
      </w:r>
      <w:r>
        <w:rPr>
          <w:lang w:val="en-US"/>
        </w:rPr>
        <w:fldChar w:fldCharType="end"/>
      </w:r>
      <w:r>
        <w:rPr>
          <w:lang w:val="en-US"/>
        </w:rPr>
        <w:t xml:space="preserve"> shows a comparison between the two cases of non-dynamic TDD (baseline performance) and </w:t>
      </w:r>
      <w:r w:rsidR="00F613AD">
        <w:rPr>
          <w:lang w:val="en-US"/>
        </w:rPr>
        <w:t xml:space="preserve">dynamic </w:t>
      </w:r>
      <w:r>
        <w:rPr>
          <w:lang w:val="en-US"/>
        </w:rPr>
        <w:t xml:space="preserve">TDD (CLI performance). From the picture we see that network performance with UE-to-UE adjacent channel interference is </w:t>
      </w:r>
      <w:r w:rsidR="00E63E5F">
        <w:rPr>
          <w:lang w:val="en-US"/>
        </w:rPr>
        <w:t xml:space="preserve">again </w:t>
      </w:r>
      <w:r>
        <w:rPr>
          <w:lang w:val="en-US"/>
        </w:rPr>
        <w:t>slightly better than baseline performance.</w:t>
      </w:r>
    </w:p>
    <w:p w14:paraId="7D7FA5C9" w14:textId="41D6C316" w:rsidR="00526C00" w:rsidRDefault="00AB0A00" w:rsidP="00526C00">
      <w:pPr>
        <w:rPr>
          <w:lang w:val="en-US"/>
        </w:rPr>
      </w:pPr>
      <w:r>
        <w:rPr>
          <w:lang w:val="en-US"/>
        </w:rPr>
        <w:t xml:space="preserve">Same considerations made for the </w:t>
      </w:r>
      <w:proofErr w:type="spellStart"/>
      <w:r>
        <w:rPr>
          <w:lang w:val="en-US"/>
        </w:rPr>
        <w:t>UMa</w:t>
      </w:r>
      <w:proofErr w:type="spellEnd"/>
      <w:r>
        <w:rPr>
          <w:lang w:val="en-US"/>
        </w:rPr>
        <w:t xml:space="preserve"> deployment scenario apply here. W</w:t>
      </w:r>
      <w:r w:rsidR="00526C00">
        <w:rPr>
          <w:lang w:val="en-US"/>
        </w:rPr>
        <w:t>e conclude that</w:t>
      </w:r>
      <w:r>
        <w:rPr>
          <w:lang w:val="en-US"/>
        </w:rPr>
        <w:t xml:space="preserve"> dynamic</w:t>
      </w:r>
      <w:r w:rsidR="00526C00">
        <w:rPr>
          <w:lang w:val="en-US"/>
        </w:rPr>
        <w:t xml:space="preserve"> TDD operation is possible in the </w:t>
      </w:r>
      <w:proofErr w:type="spellStart"/>
      <w:r w:rsidR="00526C00">
        <w:rPr>
          <w:lang w:val="en-US"/>
        </w:rPr>
        <w:t>UM</w:t>
      </w:r>
      <w:r w:rsidR="00845126">
        <w:rPr>
          <w:lang w:val="en-US"/>
        </w:rPr>
        <w:t>i</w:t>
      </w:r>
      <w:proofErr w:type="spellEnd"/>
      <w:r w:rsidR="00526C00">
        <w:rPr>
          <w:lang w:val="en-US"/>
        </w:rPr>
        <w:t>-to-</w:t>
      </w:r>
      <w:proofErr w:type="spellStart"/>
      <w:r w:rsidR="00526C00">
        <w:rPr>
          <w:lang w:val="en-US"/>
        </w:rPr>
        <w:t>UM</w:t>
      </w:r>
      <w:r w:rsidR="00845126">
        <w:rPr>
          <w:lang w:val="en-US"/>
        </w:rPr>
        <w:t>i</w:t>
      </w:r>
      <w:proofErr w:type="spellEnd"/>
      <w:r w:rsidR="00526C00">
        <w:rPr>
          <w:lang w:val="en-US"/>
        </w:rPr>
        <w:t xml:space="preserve"> deployment scenario at least from a UE-to-UE interference point of view.</w:t>
      </w:r>
    </w:p>
    <w:p w14:paraId="0583EF18" w14:textId="37CB78F8" w:rsidR="00526C00" w:rsidRDefault="00D71F68" w:rsidP="00526C00">
      <w:pPr>
        <w:keepNext/>
        <w:jc w:val="center"/>
      </w:pPr>
      <w:r w:rsidRPr="00D71F68">
        <w:rPr>
          <w:noProof/>
        </w:rPr>
        <w:lastRenderedPageBreak/>
        <w:drawing>
          <wp:inline distT="0" distB="0" distL="0" distR="0" wp14:anchorId="2A3FB3A9" wp14:editId="593F4947">
            <wp:extent cx="5323200" cy="3992400"/>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3200" cy="3992400"/>
                    </a:xfrm>
                    <a:prstGeom prst="rect">
                      <a:avLst/>
                    </a:prstGeom>
                    <a:noFill/>
                    <a:ln>
                      <a:noFill/>
                    </a:ln>
                  </pic:spPr>
                </pic:pic>
              </a:graphicData>
            </a:graphic>
          </wp:inline>
        </w:drawing>
      </w:r>
    </w:p>
    <w:p w14:paraId="612B744E" w14:textId="49D8D72A" w:rsidR="00526C00" w:rsidRDefault="00526C00" w:rsidP="00DD1DE3">
      <w:pPr>
        <w:pStyle w:val="Caption"/>
        <w:jc w:val="center"/>
        <w:rPr>
          <w:lang w:val="en-US"/>
        </w:rPr>
      </w:pPr>
      <w:bookmarkStart w:id="3" w:name="_Ref5012860"/>
      <w:r>
        <w:t xml:space="preserve">Figure </w:t>
      </w:r>
      <w:r>
        <w:fldChar w:fldCharType="begin"/>
      </w:r>
      <w:r>
        <w:instrText xml:space="preserve"> SEQ Figure \* ARABIC </w:instrText>
      </w:r>
      <w:r>
        <w:fldChar w:fldCharType="separate"/>
      </w:r>
      <w:r w:rsidR="0097308F">
        <w:rPr>
          <w:noProof/>
        </w:rPr>
        <w:t>3</w:t>
      </w:r>
      <w:r>
        <w:fldChar w:fldCharType="end"/>
      </w:r>
      <w:bookmarkEnd w:id="3"/>
      <w:r>
        <w:t xml:space="preserve">. </w:t>
      </w:r>
      <w:r w:rsidRPr="00F0014E">
        <w:t xml:space="preserve">Comparison of </w:t>
      </w:r>
      <w:r w:rsidR="004F6596">
        <w:t>SINR</w:t>
      </w:r>
      <w:r w:rsidRPr="00F0014E">
        <w:t xml:space="preserve"> performance with ACI</w:t>
      </w:r>
      <w:r w:rsidR="002E5F36">
        <w:t xml:space="preserve"> in </w:t>
      </w:r>
      <w:proofErr w:type="spellStart"/>
      <w:r w:rsidR="002E5F36">
        <w:t>UMi</w:t>
      </w:r>
      <w:proofErr w:type="spellEnd"/>
      <w:r w:rsidR="002E5F36">
        <w:t>-to-</w:t>
      </w:r>
      <w:proofErr w:type="spellStart"/>
      <w:r w:rsidR="002E5F36">
        <w:t>UMi</w:t>
      </w:r>
      <w:proofErr w:type="spellEnd"/>
      <w:r w:rsidR="002E5F36">
        <w:t xml:space="preserve"> scenario</w:t>
      </w:r>
    </w:p>
    <w:p w14:paraId="3DE9F3DE" w14:textId="77777777" w:rsidR="00526C00" w:rsidRPr="00526C00" w:rsidRDefault="00526C00" w:rsidP="00526C00">
      <w:pPr>
        <w:rPr>
          <w:lang w:val="en-US"/>
        </w:rPr>
      </w:pPr>
    </w:p>
    <w:p w14:paraId="32A0DB23" w14:textId="3CB049F4" w:rsidR="00F92432" w:rsidRDefault="00F92432" w:rsidP="00F92432">
      <w:pPr>
        <w:pStyle w:val="Heading2"/>
        <w:rPr>
          <w:lang w:val="en-US"/>
        </w:rPr>
      </w:pPr>
      <w:r>
        <w:rPr>
          <w:lang w:val="en-US"/>
        </w:rPr>
        <w:t>Indoor to Indoor</w:t>
      </w:r>
    </w:p>
    <w:p w14:paraId="4A753B16" w14:textId="1F3A145B" w:rsidR="00DD1DE3" w:rsidRDefault="00DD1DE3" w:rsidP="00DD1DE3">
      <w:pPr>
        <w:rPr>
          <w:lang w:val="en-US"/>
        </w:rPr>
      </w:pPr>
      <w:r>
        <w:rPr>
          <w:lang w:val="en-US"/>
        </w:rPr>
        <w:t xml:space="preserve">This section presents a comparison in terms of </w:t>
      </w:r>
      <w:r w:rsidR="006459CD">
        <w:rPr>
          <w:lang w:val="en-US"/>
        </w:rPr>
        <w:t>SINR</w:t>
      </w:r>
      <w:r>
        <w:rPr>
          <w:lang w:val="en-US"/>
        </w:rPr>
        <w:t xml:space="preserve"> performance in the presence of another operator operating in adjacent frequency channel for an Indoor deployment characterized by 6</w:t>
      </w:r>
      <w:r w:rsidR="00E63E5F">
        <w:rPr>
          <w:lang w:val="en-US"/>
        </w:rPr>
        <w:t xml:space="preserve"> non-</w:t>
      </w:r>
      <w:proofErr w:type="spellStart"/>
      <w:r w:rsidR="00E63E5F">
        <w:rPr>
          <w:lang w:val="en-US"/>
        </w:rPr>
        <w:t>colocated</w:t>
      </w:r>
      <w:proofErr w:type="spellEnd"/>
      <w:r>
        <w:rPr>
          <w:lang w:val="en-US"/>
        </w:rPr>
        <w:t xml:space="preserve"> ceiling mounted base station</w:t>
      </w:r>
      <w:r w:rsidR="004877A8">
        <w:rPr>
          <w:lang w:val="en-US"/>
        </w:rPr>
        <w:t xml:space="preserve"> per operator</w:t>
      </w:r>
      <w:r>
        <w:rPr>
          <w:lang w:val="en-US"/>
        </w:rPr>
        <w:t xml:space="preserve">. The considered operating range is still FR2. </w:t>
      </w:r>
      <w:r w:rsidR="00E035F7">
        <w:rPr>
          <w:lang w:val="en-US"/>
        </w:rPr>
        <w:fldChar w:fldCharType="begin"/>
      </w:r>
      <w:r w:rsidR="00E035F7">
        <w:rPr>
          <w:lang w:val="en-US"/>
        </w:rPr>
        <w:instrText xml:space="preserve"> REF _Ref5034617 \h </w:instrText>
      </w:r>
      <w:r w:rsidR="00E035F7">
        <w:rPr>
          <w:lang w:val="en-US"/>
        </w:rPr>
      </w:r>
      <w:r w:rsidR="00E035F7">
        <w:rPr>
          <w:lang w:val="en-US"/>
        </w:rPr>
        <w:fldChar w:fldCharType="separate"/>
      </w:r>
      <w:r w:rsidR="0097308F">
        <w:t xml:space="preserve">Figure </w:t>
      </w:r>
      <w:r w:rsidR="0097308F">
        <w:rPr>
          <w:noProof/>
        </w:rPr>
        <w:t>4</w:t>
      </w:r>
      <w:r w:rsidR="00E035F7">
        <w:rPr>
          <w:lang w:val="en-US"/>
        </w:rPr>
        <w:fldChar w:fldCharType="end"/>
      </w:r>
      <w:r>
        <w:rPr>
          <w:lang w:val="en-US"/>
        </w:rPr>
        <w:fldChar w:fldCharType="begin"/>
      </w:r>
      <w:r>
        <w:rPr>
          <w:lang w:val="en-US"/>
        </w:rPr>
        <w:instrText xml:space="preserve"> REF _Ref5012860 \h </w:instrText>
      </w:r>
      <w:r>
        <w:rPr>
          <w:lang w:val="en-US"/>
        </w:rPr>
      </w:r>
      <w:r>
        <w:rPr>
          <w:lang w:val="en-US"/>
        </w:rPr>
        <w:fldChar w:fldCharType="end"/>
      </w:r>
      <w:r>
        <w:rPr>
          <w:lang w:val="en-US"/>
        </w:rPr>
        <w:t xml:space="preserve"> shows a comparison between the two cases of non-dynamic TDD (baseline performance) and dynamic TDD (CLI performance). From the picture we see that network performance with UE-to-UE adjacent channel interference is better than baseline </w:t>
      </w:r>
      <w:r w:rsidR="00E63E5F">
        <w:rPr>
          <w:lang w:val="en-US"/>
        </w:rPr>
        <w:t>performance</w:t>
      </w:r>
      <w:r>
        <w:rPr>
          <w:lang w:val="en-US"/>
        </w:rPr>
        <w:t>.</w:t>
      </w:r>
    </w:p>
    <w:p w14:paraId="5211EC1B" w14:textId="319D9C79" w:rsidR="00DD1DE3" w:rsidRDefault="00DD1DE3" w:rsidP="00DD1DE3">
      <w:pPr>
        <w:rPr>
          <w:lang w:val="en-US"/>
        </w:rPr>
      </w:pPr>
      <w:r>
        <w:rPr>
          <w:lang w:val="en-US"/>
        </w:rPr>
        <w:t xml:space="preserve">Same considerations made for the </w:t>
      </w:r>
      <w:proofErr w:type="spellStart"/>
      <w:r>
        <w:rPr>
          <w:lang w:val="en-US"/>
        </w:rPr>
        <w:t>UMa</w:t>
      </w:r>
      <w:proofErr w:type="spellEnd"/>
      <w:r w:rsidR="004877A8">
        <w:rPr>
          <w:lang w:val="en-US"/>
        </w:rPr>
        <w:t xml:space="preserve"> and </w:t>
      </w:r>
      <w:proofErr w:type="spellStart"/>
      <w:r w:rsidR="004877A8">
        <w:rPr>
          <w:lang w:val="en-US"/>
        </w:rPr>
        <w:t>UMi</w:t>
      </w:r>
      <w:proofErr w:type="spellEnd"/>
      <w:r>
        <w:rPr>
          <w:lang w:val="en-US"/>
        </w:rPr>
        <w:t xml:space="preserve"> deployment scenario apply here. We conclude that dynamic TDD operation is possible in the </w:t>
      </w:r>
      <w:proofErr w:type="spellStart"/>
      <w:r w:rsidR="004877A8">
        <w:rPr>
          <w:lang w:val="en-US"/>
        </w:rPr>
        <w:t>InH</w:t>
      </w:r>
      <w:proofErr w:type="spellEnd"/>
      <w:r w:rsidR="004877A8">
        <w:rPr>
          <w:lang w:val="en-US"/>
        </w:rPr>
        <w:t>-to-</w:t>
      </w:r>
      <w:proofErr w:type="spellStart"/>
      <w:r w:rsidR="004877A8">
        <w:rPr>
          <w:lang w:val="en-US"/>
        </w:rPr>
        <w:t>InH</w:t>
      </w:r>
      <w:proofErr w:type="spellEnd"/>
      <w:r>
        <w:rPr>
          <w:lang w:val="en-US"/>
        </w:rPr>
        <w:t xml:space="preserve"> deployment scenario at least from a UE-to-UE interference point of view.</w:t>
      </w:r>
    </w:p>
    <w:p w14:paraId="52E1B808" w14:textId="73A3B89B" w:rsidR="002E5F36" w:rsidRDefault="00D71F68" w:rsidP="002E5F36">
      <w:pPr>
        <w:keepNext/>
        <w:jc w:val="center"/>
      </w:pPr>
      <w:r w:rsidRPr="00D71F68">
        <w:rPr>
          <w:noProof/>
        </w:rPr>
        <w:lastRenderedPageBreak/>
        <w:drawing>
          <wp:inline distT="0" distB="0" distL="0" distR="0" wp14:anchorId="5888FCB0" wp14:editId="5A04C70F">
            <wp:extent cx="5323200" cy="3992400"/>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3200" cy="3992400"/>
                    </a:xfrm>
                    <a:prstGeom prst="rect">
                      <a:avLst/>
                    </a:prstGeom>
                    <a:noFill/>
                    <a:ln>
                      <a:noFill/>
                    </a:ln>
                  </pic:spPr>
                </pic:pic>
              </a:graphicData>
            </a:graphic>
          </wp:inline>
        </w:drawing>
      </w:r>
    </w:p>
    <w:p w14:paraId="06C3687D" w14:textId="0736845E" w:rsidR="002E5F36" w:rsidRPr="00DD1DE3" w:rsidRDefault="002E5F36" w:rsidP="002E5F36">
      <w:pPr>
        <w:pStyle w:val="Caption"/>
        <w:jc w:val="center"/>
        <w:rPr>
          <w:lang w:val="en-US"/>
        </w:rPr>
      </w:pPr>
      <w:bookmarkStart w:id="4" w:name="_Ref5034617"/>
      <w:r>
        <w:t xml:space="preserve">Figure </w:t>
      </w:r>
      <w:r>
        <w:fldChar w:fldCharType="begin"/>
      </w:r>
      <w:r>
        <w:instrText xml:space="preserve"> SEQ Figure \* ARABIC </w:instrText>
      </w:r>
      <w:r>
        <w:fldChar w:fldCharType="separate"/>
      </w:r>
      <w:r w:rsidR="0097308F">
        <w:rPr>
          <w:noProof/>
        </w:rPr>
        <w:t>4</w:t>
      </w:r>
      <w:r>
        <w:fldChar w:fldCharType="end"/>
      </w:r>
      <w:bookmarkEnd w:id="4"/>
      <w:r>
        <w:t xml:space="preserve">. </w:t>
      </w:r>
      <w:r w:rsidRPr="00F52921">
        <w:t xml:space="preserve">Comparison of </w:t>
      </w:r>
      <w:r w:rsidR="006459CD">
        <w:t>SINR</w:t>
      </w:r>
      <w:r w:rsidRPr="00F52921">
        <w:t xml:space="preserve"> performance with ACI</w:t>
      </w:r>
      <w:r>
        <w:t xml:space="preserve"> in </w:t>
      </w:r>
      <w:proofErr w:type="spellStart"/>
      <w:r>
        <w:t>InH</w:t>
      </w:r>
      <w:proofErr w:type="spellEnd"/>
      <w:r>
        <w:t>-to-</w:t>
      </w:r>
      <w:proofErr w:type="spellStart"/>
      <w:r>
        <w:t>InH</w:t>
      </w:r>
      <w:proofErr w:type="spellEnd"/>
      <w:r>
        <w:t xml:space="preserve"> scenario</w:t>
      </w:r>
    </w:p>
    <w:p w14:paraId="6E1368FE" w14:textId="08290B40" w:rsidR="002F5C4B" w:rsidRDefault="002F5C4B" w:rsidP="00C05884">
      <w:pPr>
        <w:keepNext/>
        <w:rPr>
          <w:b/>
          <w:lang w:val="en-US"/>
        </w:rPr>
      </w:pPr>
      <w:bookmarkStart w:id="5" w:name="_Ref521514866"/>
    </w:p>
    <w:p w14:paraId="29A146BB" w14:textId="0E5CD4BE" w:rsidR="00A808F9" w:rsidRDefault="00CF6FAC" w:rsidP="00CF6FAC">
      <w:pPr>
        <w:pStyle w:val="Heading1"/>
        <w:rPr>
          <w:lang w:val="en-US"/>
        </w:rPr>
      </w:pPr>
      <w:r>
        <w:rPr>
          <w:lang w:val="en-US"/>
        </w:rPr>
        <w:t>FR1 Simulation Results</w:t>
      </w:r>
    </w:p>
    <w:p w14:paraId="1A5A2E2E" w14:textId="3494E805" w:rsidR="00CF6FAC" w:rsidRDefault="00CF6FAC" w:rsidP="00CF6FAC">
      <w:pPr>
        <w:pStyle w:val="Heading2"/>
        <w:rPr>
          <w:lang w:val="en-US"/>
        </w:rPr>
      </w:pPr>
      <w:r>
        <w:rPr>
          <w:lang w:val="en-US"/>
        </w:rPr>
        <w:t>Urban Macro to Urban Macro</w:t>
      </w:r>
    </w:p>
    <w:p w14:paraId="0359E411" w14:textId="4661C188" w:rsidR="00E035F7" w:rsidRDefault="00E035F7" w:rsidP="00E035F7">
      <w:pPr>
        <w:rPr>
          <w:lang w:val="en-US"/>
        </w:rPr>
      </w:pPr>
      <w:r>
        <w:rPr>
          <w:lang w:val="en-US"/>
        </w:rPr>
        <w:t xml:space="preserve">This section presents a comparison of </w:t>
      </w:r>
      <w:r w:rsidR="006459CD">
        <w:rPr>
          <w:lang w:val="en-US"/>
        </w:rPr>
        <w:t>SINR</w:t>
      </w:r>
      <w:r>
        <w:rPr>
          <w:lang w:val="en-US"/>
        </w:rPr>
        <w:t xml:space="preserve"> performance in the presence of another operator operating in adjacent frequency channel for an Urban Macro deployment characterized by 25m height tri-sectorial base stations deployed in a hexagonal grid in FR1. </w:t>
      </w:r>
      <w:r w:rsidR="00F60CDE">
        <w:rPr>
          <w:lang w:val="en-US"/>
        </w:rPr>
        <w:fldChar w:fldCharType="begin"/>
      </w:r>
      <w:r w:rsidR="00F60CDE">
        <w:rPr>
          <w:lang w:val="en-US"/>
        </w:rPr>
        <w:instrText xml:space="preserve"> REF _Ref5034625 \h </w:instrText>
      </w:r>
      <w:r w:rsidR="00F60CDE">
        <w:rPr>
          <w:lang w:val="en-US"/>
        </w:rPr>
      </w:r>
      <w:r w:rsidR="00F60CDE">
        <w:rPr>
          <w:lang w:val="en-US"/>
        </w:rPr>
        <w:fldChar w:fldCharType="separate"/>
      </w:r>
      <w:r w:rsidR="00F60CDE">
        <w:t xml:space="preserve">Figure </w:t>
      </w:r>
      <w:r w:rsidR="00F60CDE">
        <w:rPr>
          <w:noProof/>
        </w:rPr>
        <w:t>5</w:t>
      </w:r>
      <w:r w:rsidR="00F60CDE">
        <w:rPr>
          <w:lang w:val="en-US"/>
        </w:rPr>
        <w:fldChar w:fldCharType="end"/>
      </w:r>
      <w:r w:rsidR="00F60CDE">
        <w:rPr>
          <w:lang w:val="en-US"/>
        </w:rPr>
        <w:t xml:space="preserve"> </w:t>
      </w:r>
      <w:r>
        <w:rPr>
          <w:lang w:val="en-US"/>
        </w:rPr>
        <w:t>shows a comparison between the two cases of non-dynamic TDD (baseline performance) and dynamic TDD (CLI performance). From the picture we see that network performance with UE-to-UE adjacent channel interference is better than baseline performance.</w:t>
      </w:r>
    </w:p>
    <w:p w14:paraId="4E5C1A8E" w14:textId="3EAE4142" w:rsidR="00E035F7" w:rsidRDefault="00E035F7" w:rsidP="00E035F7">
      <w:pPr>
        <w:rPr>
          <w:lang w:val="en-US"/>
        </w:rPr>
      </w:pPr>
      <w:r>
        <w:rPr>
          <w:lang w:val="en-US"/>
        </w:rPr>
        <w:t xml:space="preserve">We conclude that dynamic TDD operation is possible in the </w:t>
      </w:r>
      <w:proofErr w:type="spellStart"/>
      <w:r>
        <w:rPr>
          <w:lang w:val="en-US"/>
        </w:rPr>
        <w:t>UMa</w:t>
      </w:r>
      <w:proofErr w:type="spellEnd"/>
      <w:r>
        <w:rPr>
          <w:lang w:val="en-US"/>
        </w:rPr>
        <w:t>-to-</w:t>
      </w:r>
      <w:proofErr w:type="spellStart"/>
      <w:r>
        <w:rPr>
          <w:lang w:val="en-US"/>
        </w:rPr>
        <w:t>UMa</w:t>
      </w:r>
      <w:proofErr w:type="spellEnd"/>
      <w:r>
        <w:rPr>
          <w:lang w:val="en-US"/>
        </w:rPr>
        <w:t xml:space="preserve"> deployment scenario in FR1 at least from a UE-to-UE interference point of view. Even in more challenging cases such as, for example, multiple UEs per cell are served simultaneously we expect there is enough margin to enable dynamic TDD.</w:t>
      </w:r>
      <w:r w:rsidR="004217DE">
        <w:rPr>
          <w:lang w:val="en-US"/>
        </w:rPr>
        <w:t xml:space="preserve"> </w:t>
      </w:r>
      <w:r w:rsidR="004217DE" w:rsidRPr="004217DE">
        <w:rPr>
          <w:lang w:val="en-US"/>
        </w:rPr>
        <w:t xml:space="preserve">This is consistent with the </w:t>
      </w:r>
      <w:proofErr w:type="spellStart"/>
      <w:r w:rsidR="004217DE" w:rsidRPr="004217DE">
        <w:rPr>
          <w:lang w:val="en-US"/>
        </w:rPr>
        <w:t>eIMTA</w:t>
      </w:r>
      <w:proofErr w:type="spellEnd"/>
      <w:r w:rsidR="004217DE" w:rsidRPr="004217DE">
        <w:rPr>
          <w:lang w:val="en-US"/>
        </w:rPr>
        <w:t xml:space="preserve"> results for Macro layer deployments.</w:t>
      </w:r>
    </w:p>
    <w:p w14:paraId="4F95CFF9" w14:textId="77777777" w:rsidR="00F9000F" w:rsidRPr="00F9000F" w:rsidRDefault="00F9000F" w:rsidP="00F9000F">
      <w:pPr>
        <w:rPr>
          <w:lang w:val="en-US"/>
        </w:rPr>
      </w:pPr>
    </w:p>
    <w:p w14:paraId="61CFABA1" w14:textId="71555E89" w:rsidR="00F9000F" w:rsidRDefault="00F60CDE" w:rsidP="00F9000F">
      <w:pPr>
        <w:keepNext/>
        <w:jc w:val="center"/>
      </w:pPr>
      <w:r w:rsidRPr="00F60CDE">
        <w:rPr>
          <w:noProof/>
        </w:rPr>
        <w:lastRenderedPageBreak/>
        <w:drawing>
          <wp:inline distT="0" distB="0" distL="0" distR="0" wp14:anchorId="3CBC9886" wp14:editId="0B287EEC">
            <wp:extent cx="5323200" cy="3992400"/>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3200" cy="3992400"/>
                    </a:xfrm>
                    <a:prstGeom prst="rect">
                      <a:avLst/>
                    </a:prstGeom>
                    <a:noFill/>
                    <a:ln>
                      <a:noFill/>
                    </a:ln>
                  </pic:spPr>
                </pic:pic>
              </a:graphicData>
            </a:graphic>
          </wp:inline>
        </w:drawing>
      </w:r>
    </w:p>
    <w:p w14:paraId="6070BF96" w14:textId="37003926" w:rsidR="00F9000F" w:rsidRPr="00F9000F" w:rsidRDefault="00F9000F" w:rsidP="00F9000F">
      <w:pPr>
        <w:pStyle w:val="Caption"/>
        <w:jc w:val="center"/>
        <w:rPr>
          <w:lang w:val="en-US"/>
        </w:rPr>
      </w:pPr>
      <w:bookmarkStart w:id="6" w:name="_Ref5034625"/>
      <w:r>
        <w:t xml:space="preserve">Figure </w:t>
      </w:r>
      <w:r>
        <w:fldChar w:fldCharType="begin"/>
      </w:r>
      <w:r>
        <w:instrText xml:space="preserve"> SEQ Figure \* ARABIC </w:instrText>
      </w:r>
      <w:r>
        <w:fldChar w:fldCharType="separate"/>
      </w:r>
      <w:r w:rsidR="0097308F">
        <w:rPr>
          <w:noProof/>
        </w:rPr>
        <w:t>5</w:t>
      </w:r>
      <w:r>
        <w:fldChar w:fldCharType="end"/>
      </w:r>
      <w:bookmarkEnd w:id="6"/>
      <w:r>
        <w:t xml:space="preserve">. </w:t>
      </w:r>
      <w:r w:rsidRPr="00831435">
        <w:t xml:space="preserve">Comparison of </w:t>
      </w:r>
      <w:r w:rsidR="006459CD">
        <w:t>SINR</w:t>
      </w:r>
      <w:r w:rsidRPr="00831435">
        <w:t xml:space="preserve"> performance with ACI in </w:t>
      </w:r>
      <w:proofErr w:type="spellStart"/>
      <w:r>
        <w:t>UMa</w:t>
      </w:r>
      <w:proofErr w:type="spellEnd"/>
      <w:r>
        <w:t>-to-</w:t>
      </w:r>
      <w:proofErr w:type="spellStart"/>
      <w:r>
        <w:t>UMa</w:t>
      </w:r>
      <w:proofErr w:type="spellEnd"/>
      <w:r w:rsidRPr="00831435">
        <w:t xml:space="preserve"> scenario</w:t>
      </w:r>
    </w:p>
    <w:p w14:paraId="54403ABE" w14:textId="5EA62A59" w:rsidR="00CF6FAC" w:rsidRDefault="00CF6FAC" w:rsidP="00CF6FAC">
      <w:pPr>
        <w:pStyle w:val="Heading2"/>
        <w:rPr>
          <w:lang w:val="en-US"/>
        </w:rPr>
      </w:pPr>
      <w:r>
        <w:rPr>
          <w:lang w:val="en-US"/>
        </w:rPr>
        <w:t>Indoor to Indoor</w:t>
      </w:r>
    </w:p>
    <w:p w14:paraId="085D4074" w14:textId="4CDE5FBE" w:rsidR="0031116E" w:rsidRDefault="0031116E" w:rsidP="0031116E">
      <w:pPr>
        <w:rPr>
          <w:lang w:val="en-US"/>
        </w:rPr>
      </w:pPr>
      <w:r>
        <w:rPr>
          <w:lang w:val="en-US"/>
        </w:rPr>
        <w:t xml:space="preserve">This section presents a comparison of SINR performance </w:t>
      </w:r>
      <w:r w:rsidR="001C10A7">
        <w:rPr>
          <w:lang w:val="en-US"/>
        </w:rPr>
        <w:t xml:space="preserve">for an Indoor deployment in FR1 </w:t>
      </w:r>
      <w:r>
        <w:rPr>
          <w:lang w:val="en-US"/>
        </w:rPr>
        <w:t xml:space="preserve">in the presence of another operator operating in adjacent frequency channel. The </w:t>
      </w:r>
      <w:r w:rsidR="001C10A7">
        <w:rPr>
          <w:lang w:val="en-US"/>
        </w:rPr>
        <w:t xml:space="preserve">victim </w:t>
      </w:r>
      <w:r w:rsidR="005E008C">
        <w:rPr>
          <w:lang w:val="en-US"/>
        </w:rPr>
        <w:t xml:space="preserve">and aggressor </w:t>
      </w:r>
      <w:r>
        <w:rPr>
          <w:lang w:val="en-US"/>
        </w:rPr>
        <w:t>Indoor network</w:t>
      </w:r>
      <w:r w:rsidR="005E008C">
        <w:rPr>
          <w:lang w:val="en-US"/>
        </w:rPr>
        <w:t>s have</w:t>
      </w:r>
      <w:r>
        <w:rPr>
          <w:lang w:val="en-US"/>
        </w:rPr>
        <w:t xml:space="preserve"> 6</w:t>
      </w:r>
      <w:r w:rsidR="005E008C">
        <w:rPr>
          <w:lang w:val="en-US"/>
        </w:rPr>
        <w:t xml:space="preserve"> co-located</w:t>
      </w:r>
      <w:r>
        <w:rPr>
          <w:lang w:val="en-US"/>
        </w:rPr>
        <w:t xml:space="preserve"> </w:t>
      </w:r>
      <w:r w:rsidR="001C10A7">
        <w:rPr>
          <w:lang w:val="en-US"/>
        </w:rPr>
        <w:t xml:space="preserve">ceiling mounted </w:t>
      </w:r>
      <w:proofErr w:type="spellStart"/>
      <w:r w:rsidR="001C10A7">
        <w:rPr>
          <w:lang w:val="en-US"/>
        </w:rPr>
        <w:t>gNBs</w:t>
      </w:r>
      <w:proofErr w:type="spellEnd"/>
      <w:r w:rsidR="001C10A7">
        <w:rPr>
          <w:lang w:val="en-US"/>
        </w:rPr>
        <w:t xml:space="preserve"> separated by 40m ISD</w:t>
      </w:r>
      <w:r w:rsidR="005278D5">
        <w:rPr>
          <w:lang w:val="en-US"/>
        </w:rPr>
        <w:t xml:space="preserve">. </w:t>
      </w:r>
      <w:r w:rsidR="00F93570">
        <w:rPr>
          <w:lang w:val="en-US"/>
        </w:rPr>
        <w:fldChar w:fldCharType="begin"/>
      </w:r>
      <w:r w:rsidR="00F93570">
        <w:rPr>
          <w:lang w:val="en-US"/>
        </w:rPr>
        <w:instrText xml:space="preserve"> REF _Ref5049674 \h </w:instrText>
      </w:r>
      <w:r w:rsidR="00F93570">
        <w:rPr>
          <w:lang w:val="en-US"/>
        </w:rPr>
      </w:r>
      <w:r w:rsidR="00F93570">
        <w:rPr>
          <w:lang w:val="en-US"/>
        </w:rPr>
        <w:fldChar w:fldCharType="separate"/>
      </w:r>
      <w:r w:rsidR="00F93570">
        <w:t xml:space="preserve">Figure </w:t>
      </w:r>
      <w:r w:rsidR="00F93570">
        <w:rPr>
          <w:noProof/>
        </w:rPr>
        <w:t>6</w:t>
      </w:r>
      <w:r w:rsidR="00F93570">
        <w:rPr>
          <w:lang w:val="en-US"/>
        </w:rPr>
        <w:fldChar w:fldCharType="end"/>
      </w:r>
      <w:r w:rsidR="00F93570">
        <w:rPr>
          <w:lang w:val="en-US"/>
        </w:rPr>
        <w:t xml:space="preserve"> </w:t>
      </w:r>
      <w:r>
        <w:rPr>
          <w:lang w:val="en-US"/>
        </w:rPr>
        <w:t xml:space="preserve">shows a comparison between the two cases of non-dynamic TDD (baseline performance) and dynamic TDD (CLI performance). From the picture we see that network performance with UE-to-UE adjacent channel interference is </w:t>
      </w:r>
      <w:proofErr w:type="gramStart"/>
      <w:r w:rsidR="001C10A7">
        <w:rPr>
          <w:lang w:val="en-US"/>
        </w:rPr>
        <w:t>similar to</w:t>
      </w:r>
      <w:proofErr w:type="gramEnd"/>
      <w:r>
        <w:rPr>
          <w:lang w:val="en-US"/>
        </w:rPr>
        <w:t xml:space="preserve"> baseline </w:t>
      </w:r>
      <w:r w:rsidR="001C10A7">
        <w:rPr>
          <w:lang w:val="en-US"/>
        </w:rPr>
        <w:t xml:space="preserve">network </w:t>
      </w:r>
      <w:r>
        <w:rPr>
          <w:lang w:val="en-US"/>
        </w:rPr>
        <w:t>performance.</w:t>
      </w:r>
    </w:p>
    <w:p w14:paraId="7C7E596F" w14:textId="102C5065" w:rsidR="0031116E" w:rsidRDefault="0031116E" w:rsidP="0031116E">
      <w:pPr>
        <w:rPr>
          <w:lang w:val="en-US"/>
        </w:rPr>
      </w:pPr>
      <w:r>
        <w:rPr>
          <w:lang w:val="en-US"/>
        </w:rPr>
        <w:t xml:space="preserve">We conclude that dynamic TDD operation is possible in the </w:t>
      </w:r>
      <w:proofErr w:type="spellStart"/>
      <w:r>
        <w:rPr>
          <w:lang w:val="en-US"/>
        </w:rPr>
        <w:t>InH</w:t>
      </w:r>
      <w:proofErr w:type="spellEnd"/>
      <w:r>
        <w:rPr>
          <w:lang w:val="en-US"/>
        </w:rPr>
        <w:t>-to-</w:t>
      </w:r>
      <w:proofErr w:type="spellStart"/>
      <w:r>
        <w:rPr>
          <w:lang w:val="en-US"/>
        </w:rPr>
        <w:t>InH</w:t>
      </w:r>
      <w:proofErr w:type="spellEnd"/>
      <w:r>
        <w:rPr>
          <w:lang w:val="en-US"/>
        </w:rPr>
        <w:t xml:space="preserve"> deployment scenario in FR1 at least from a UE-to-UE interference point of view.</w:t>
      </w:r>
    </w:p>
    <w:p w14:paraId="27B36F07" w14:textId="41135DA5" w:rsidR="00CF6FAC" w:rsidRDefault="00CF6FAC" w:rsidP="00CF6FAC">
      <w:pPr>
        <w:rPr>
          <w:lang w:val="en-US"/>
        </w:rPr>
      </w:pPr>
    </w:p>
    <w:p w14:paraId="01C8FD56" w14:textId="373EC5BE" w:rsidR="0031116E" w:rsidRDefault="00C6367D" w:rsidP="00F93570">
      <w:pPr>
        <w:keepNext/>
        <w:jc w:val="center"/>
      </w:pPr>
      <w:r w:rsidRPr="00C6367D">
        <w:rPr>
          <w:noProof/>
        </w:rPr>
        <w:lastRenderedPageBreak/>
        <w:drawing>
          <wp:inline distT="0" distB="0" distL="0" distR="0" wp14:anchorId="6B51E028" wp14:editId="6FAD908C">
            <wp:extent cx="5323200" cy="3992400"/>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3200" cy="3992400"/>
                    </a:xfrm>
                    <a:prstGeom prst="rect">
                      <a:avLst/>
                    </a:prstGeom>
                    <a:noFill/>
                    <a:ln>
                      <a:noFill/>
                    </a:ln>
                  </pic:spPr>
                </pic:pic>
              </a:graphicData>
            </a:graphic>
          </wp:inline>
        </w:drawing>
      </w:r>
    </w:p>
    <w:p w14:paraId="1EFC6B9E" w14:textId="78DBC644" w:rsidR="0031116E" w:rsidRPr="00CF6FAC" w:rsidRDefault="0031116E" w:rsidP="00F93570">
      <w:pPr>
        <w:pStyle w:val="Caption"/>
        <w:jc w:val="center"/>
        <w:rPr>
          <w:lang w:val="en-US"/>
        </w:rPr>
      </w:pPr>
      <w:bookmarkStart w:id="7" w:name="_Ref5049674"/>
      <w:r>
        <w:t xml:space="preserve">Figure </w:t>
      </w:r>
      <w:r>
        <w:fldChar w:fldCharType="begin"/>
      </w:r>
      <w:r>
        <w:instrText xml:space="preserve"> SEQ Figure \* ARABIC </w:instrText>
      </w:r>
      <w:r>
        <w:fldChar w:fldCharType="separate"/>
      </w:r>
      <w:r w:rsidR="0097308F">
        <w:rPr>
          <w:noProof/>
        </w:rPr>
        <w:t>6</w:t>
      </w:r>
      <w:r>
        <w:fldChar w:fldCharType="end"/>
      </w:r>
      <w:bookmarkEnd w:id="7"/>
      <w:r>
        <w:t xml:space="preserve">. </w:t>
      </w:r>
      <w:r w:rsidRPr="0007322D">
        <w:t xml:space="preserve">Comparison of SINR performance with ACI in </w:t>
      </w:r>
      <w:proofErr w:type="spellStart"/>
      <w:r>
        <w:t>InH</w:t>
      </w:r>
      <w:proofErr w:type="spellEnd"/>
      <w:r>
        <w:t>-to-</w:t>
      </w:r>
      <w:proofErr w:type="spellStart"/>
      <w:r>
        <w:t>InH</w:t>
      </w:r>
      <w:proofErr w:type="spellEnd"/>
      <w:r w:rsidRPr="0007322D">
        <w:t xml:space="preserve"> scenario</w:t>
      </w:r>
    </w:p>
    <w:p w14:paraId="4230CA8B" w14:textId="774F0469" w:rsidR="00CF6FAC" w:rsidRDefault="00CF6FAC" w:rsidP="00CF6FAC">
      <w:pPr>
        <w:pStyle w:val="Heading2"/>
        <w:rPr>
          <w:lang w:val="en-US"/>
        </w:rPr>
      </w:pPr>
      <w:r>
        <w:rPr>
          <w:lang w:val="en-US"/>
        </w:rPr>
        <w:t>Urban Macro to Indoor</w:t>
      </w:r>
    </w:p>
    <w:p w14:paraId="2D693405" w14:textId="489F9D98" w:rsidR="00FE2684" w:rsidRDefault="00FE2684" w:rsidP="00FE2684">
      <w:pPr>
        <w:rPr>
          <w:lang w:val="en-US"/>
        </w:rPr>
      </w:pPr>
      <w:r>
        <w:rPr>
          <w:lang w:val="en-US"/>
        </w:rPr>
        <w:t xml:space="preserve">In this section we present simulation results for the </w:t>
      </w:r>
      <w:proofErr w:type="spellStart"/>
      <w:r>
        <w:rPr>
          <w:lang w:val="en-US"/>
        </w:rPr>
        <w:t>UMa</w:t>
      </w:r>
      <w:proofErr w:type="spellEnd"/>
      <w:r>
        <w:rPr>
          <w:lang w:val="en-US"/>
        </w:rPr>
        <w:t xml:space="preserve"> to Indoor scenario in terms of UE-to-UE CLI impact on network performance</w:t>
      </w:r>
      <w:r w:rsidR="00F42E53">
        <w:rPr>
          <w:lang w:val="en-US"/>
        </w:rPr>
        <w:t>, when 50% of</w:t>
      </w:r>
      <w:r w:rsidR="00467837">
        <w:rPr>
          <w:lang w:val="en-US"/>
        </w:rPr>
        <w:t xml:space="preserve"> UEs </w:t>
      </w:r>
      <w:r w:rsidR="00467837">
        <w:rPr>
          <w:lang w:val="en-US"/>
        </w:rPr>
        <w:t>connected</w:t>
      </w:r>
      <w:r w:rsidR="00467837">
        <w:rPr>
          <w:lang w:val="en-US"/>
        </w:rPr>
        <w:t xml:space="preserve"> to the</w:t>
      </w:r>
      <w:r w:rsidR="00F42E53">
        <w:rPr>
          <w:lang w:val="en-US"/>
        </w:rPr>
        <w:t xml:space="preserve"> Macro Network are inside the buildings where the indoor network</w:t>
      </w:r>
      <w:r w:rsidR="00CB721C">
        <w:rPr>
          <w:lang w:val="en-US"/>
        </w:rPr>
        <w:t>s</w:t>
      </w:r>
      <w:r w:rsidR="00F42E53">
        <w:rPr>
          <w:lang w:val="en-US"/>
        </w:rPr>
        <w:t xml:space="preserve"> </w:t>
      </w:r>
      <w:r w:rsidR="00CB721C">
        <w:rPr>
          <w:lang w:val="en-US"/>
        </w:rPr>
        <w:t>are</w:t>
      </w:r>
      <w:r w:rsidR="00F42E53">
        <w:rPr>
          <w:lang w:val="en-US"/>
        </w:rPr>
        <w:t xml:space="preserve"> deployed</w:t>
      </w:r>
      <w:r>
        <w:rPr>
          <w:lang w:val="en-US"/>
        </w:rPr>
        <w:t xml:space="preserve">. We believe that this scenario represents one of the most challenging </w:t>
      </w:r>
      <w:r w:rsidR="00F42E53">
        <w:rPr>
          <w:lang w:val="en-US"/>
        </w:rPr>
        <w:t>in terms of</w:t>
      </w:r>
      <w:r>
        <w:rPr>
          <w:lang w:val="en-US"/>
        </w:rPr>
        <w:t xml:space="preserve"> UE-to-UE interference</w:t>
      </w:r>
      <w:r w:rsidR="00F42E53">
        <w:rPr>
          <w:lang w:val="en-US"/>
        </w:rPr>
        <w:t xml:space="preserve">. Indeed, indoor UEs </w:t>
      </w:r>
      <w:r w:rsidR="006B405C">
        <w:rPr>
          <w:lang w:val="en-US"/>
        </w:rPr>
        <w:t xml:space="preserve">connected to the Macro network </w:t>
      </w:r>
      <w:r w:rsidR="00F42E53">
        <w:rPr>
          <w:lang w:val="en-US"/>
        </w:rPr>
        <w:t xml:space="preserve">will transmit at maximum power in order to keep active the communication link with the </w:t>
      </w:r>
      <w:r w:rsidR="00CB721C">
        <w:rPr>
          <w:lang w:val="en-US"/>
        </w:rPr>
        <w:t xml:space="preserve">outdoor </w:t>
      </w:r>
      <w:r w:rsidR="00F42E53">
        <w:rPr>
          <w:lang w:val="en-US"/>
        </w:rPr>
        <w:t>Macro base station</w:t>
      </w:r>
      <w:r w:rsidR="00640456">
        <w:rPr>
          <w:lang w:val="en-US"/>
        </w:rPr>
        <w:t xml:space="preserve"> and the</w:t>
      </w:r>
      <w:r w:rsidR="007934E7">
        <w:rPr>
          <w:lang w:val="en-US"/>
        </w:rPr>
        <w:t>ir</w:t>
      </w:r>
      <w:r w:rsidR="00640456">
        <w:rPr>
          <w:lang w:val="en-US"/>
        </w:rPr>
        <w:t xml:space="preserve"> adjacent</w:t>
      </w:r>
      <w:r w:rsidR="00640456">
        <w:rPr>
          <w:lang w:val="en-US"/>
        </w:rPr>
        <w:t xml:space="preserve"> channel interference </w:t>
      </w:r>
      <w:r w:rsidR="00640456">
        <w:rPr>
          <w:lang w:val="en-US"/>
        </w:rPr>
        <w:t>will</w:t>
      </w:r>
      <w:r w:rsidR="00640456">
        <w:rPr>
          <w:lang w:val="en-US"/>
        </w:rPr>
        <w:t xml:space="preserve"> not</w:t>
      </w:r>
      <w:r w:rsidR="00640456">
        <w:rPr>
          <w:lang w:val="en-US"/>
        </w:rPr>
        <w:t xml:space="preserve"> be</w:t>
      </w:r>
      <w:r w:rsidR="00640456">
        <w:rPr>
          <w:lang w:val="en-US"/>
        </w:rPr>
        <w:t xml:space="preserve"> subject to penetration losses</w:t>
      </w:r>
      <w:r w:rsidR="00640456">
        <w:rPr>
          <w:lang w:val="en-US"/>
        </w:rPr>
        <w:t>.</w:t>
      </w:r>
      <w:r w:rsidR="00CB721C">
        <w:rPr>
          <w:lang w:val="en-US"/>
        </w:rPr>
        <w:t xml:space="preserve"> </w:t>
      </w:r>
      <w:r w:rsidR="00640456">
        <w:rPr>
          <w:lang w:val="en-US"/>
        </w:rPr>
        <w:t>Differently</w:t>
      </w:r>
      <w:r w:rsidR="00CB721C">
        <w:rPr>
          <w:lang w:val="en-US"/>
        </w:rPr>
        <w:t>, in case of non-dynamic TDD adjacent channel interference coming from outdoor macro base stations is largely attenuated by the penetration losses through the wall of the building.</w:t>
      </w:r>
    </w:p>
    <w:p w14:paraId="60424635" w14:textId="4AA04F3A" w:rsidR="0061104E" w:rsidRDefault="0061104E" w:rsidP="00FE2684">
      <w:pPr>
        <w:rPr>
          <w:lang w:val="en-US"/>
        </w:rPr>
      </w:pPr>
      <w:r>
        <w:rPr>
          <w:lang w:val="en-US"/>
        </w:rPr>
        <w:fldChar w:fldCharType="begin"/>
      </w:r>
      <w:r>
        <w:rPr>
          <w:lang w:val="en-US"/>
        </w:rPr>
        <w:instrText xml:space="preserve"> REF _Ref5052133 \h </w:instrText>
      </w:r>
      <w:r>
        <w:rPr>
          <w:lang w:val="en-US"/>
        </w:rPr>
      </w:r>
      <w:r>
        <w:rPr>
          <w:lang w:val="en-US"/>
        </w:rPr>
        <w:fldChar w:fldCharType="separate"/>
      </w:r>
      <w:r>
        <w:t xml:space="preserve">Figure </w:t>
      </w:r>
      <w:r>
        <w:rPr>
          <w:noProof/>
        </w:rPr>
        <w:t>7</w:t>
      </w:r>
      <w:r>
        <w:rPr>
          <w:lang w:val="en-US"/>
        </w:rPr>
        <w:fldChar w:fldCharType="end"/>
      </w:r>
      <w:r>
        <w:rPr>
          <w:lang w:val="en-US"/>
        </w:rPr>
        <w:t xml:space="preserve"> shows a comparison of SINR performance </w:t>
      </w:r>
      <w:r w:rsidR="003D1277">
        <w:rPr>
          <w:lang w:val="en-US"/>
        </w:rPr>
        <w:t>in the cases of</w:t>
      </w:r>
      <w:r>
        <w:rPr>
          <w:lang w:val="en-US"/>
        </w:rPr>
        <w:t xml:space="preserve"> dynamic and non-dynamic TDD</w:t>
      </w:r>
      <w:r w:rsidR="003D1277">
        <w:rPr>
          <w:lang w:val="en-US"/>
        </w:rPr>
        <w:t xml:space="preserve"> operation</w:t>
      </w:r>
      <w:r>
        <w:rPr>
          <w:lang w:val="en-US"/>
        </w:rPr>
        <w:t xml:space="preserve"> in the </w:t>
      </w:r>
      <w:proofErr w:type="spellStart"/>
      <w:r>
        <w:rPr>
          <w:lang w:val="en-US"/>
        </w:rPr>
        <w:t>UMa</w:t>
      </w:r>
      <w:proofErr w:type="spellEnd"/>
      <w:r>
        <w:rPr>
          <w:lang w:val="en-US"/>
        </w:rPr>
        <w:t xml:space="preserve">-to-Indoor scenario. Notice that, even if in some </w:t>
      </w:r>
      <w:r w:rsidR="003D1277">
        <w:rPr>
          <w:lang w:val="en-US"/>
        </w:rPr>
        <w:t>occasions</w:t>
      </w:r>
      <w:r>
        <w:rPr>
          <w:lang w:val="en-US"/>
        </w:rPr>
        <w:t xml:space="preserve"> the</w:t>
      </w:r>
      <w:r w:rsidR="003D1277">
        <w:rPr>
          <w:lang w:val="en-US"/>
        </w:rPr>
        <w:t xml:space="preserve"> </w:t>
      </w:r>
      <w:r w:rsidR="00B26540">
        <w:rPr>
          <w:lang w:val="en-US"/>
        </w:rPr>
        <w:t>UE-to-UE</w:t>
      </w:r>
      <w:r>
        <w:rPr>
          <w:lang w:val="en-US"/>
        </w:rPr>
        <w:t xml:space="preserve"> adjacent channel interference may </w:t>
      </w:r>
      <w:r w:rsidR="00B26540">
        <w:rPr>
          <w:lang w:val="en-US"/>
        </w:rPr>
        <w:t>be larger than</w:t>
      </w:r>
      <w:r>
        <w:rPr>
          <w:lang w:val="en-US"/>
        </w:rPr>
        <w:t xml:space="preserve"> the</w:t>
      </w:r>
      <w:r w:rsidR="00B26540">
        <w:rPr>
          <w:lang w:val="en-US"/>
        </w:rPr>
        <w:t xml:space="preserve"> ACI of</w:t>
      </w:r>
      <w:r>
        <w:rPr>
          <w:lang w:val="en-US"/>
        </w:rPr>
        <w:t xml:space="preserve"> non-dynamic TDD</w:t>
      </w:r>
      <w:r w:rsidR="00F637F8">
        <w:rPr>
          <w:lang w:val="en-US"/>
        </w:rPr>
        <w:t xml:space="preserve"> operation</w:t>
      </w:r>
      <w:r>
        <w:rPr>
          <w:lang w:val="en-US"/>
        </w:rPr>
        <w:t>, the level of degradation caused to single network performance remains still negligible</w:t>
      </w:r>
      <w:r w:rsidR="00A63294">
        <w:rPr>
          <w:lang w:val="en-US"/>
        </w:rPr>
        <w:t xml:space="preserve"> because dominated by co-channel interference</w:t>
      </w:r>
      <w:r w:rsidR="003D1277">
        <w:rPr>
          <w:lang w:val="en-US"/>
        </w:rPr>
        <w:t xml:space="preserve">. </w:t>
      </w:r>
      <w:r w:rsidR="00C86D5C">
        <w:rPr>
          <w:lang w:val="en-US"/>
        </w:rPr>
        <w:t xml:space="preserve">For this </w:t>
      </w:r>
      <w:r w:rsidR="002A70C2">
        <w:rPr>
          <w:lang w:val="en-US"/>
        </w:rPr>
        <w:t>reason,</w:t>
      </w:r>
      <w:r w:rsidR="00C86D5C">
        <w:rPr>
          <w:lang w:val="en-US"/>
        </w:rPr>
        <w:t xml:space="preserve"> </w:t>
      </w:r>
      <w:r w:rsidR="00C86D5C">
        <w:rPr>
          <w:lang w:val="en-US"/>
        </w:rPr>
        <w:fldChar w:fldCharType="begin"/>
      </w:r>
      <w:r w:rsidR="00C86D5C">
        <w:rPr>
          <w:lang w:val="en-US"/>
        </w:rPr>
        <w:instrText xml:space="preserve"> REF _Ref5052133 \h </w:instrText>
      </w:r>
      <w:r w:rsidR="00C86D5C">
        <w:rPr>
          <w:lang w:val="en-US"/>
        </w:rPr>
      </w:r>
      <w:r w:rsidR="00C86D5C">
        <w:rPr>
          <w:lang w:val="en-US"/>
        </w:rPr>
        <w:fldChar w:fldCharType="separate"/>
      </w:r>
      <w:r w:rsidR="00C86D5C">
        <w:t xml:space="preserve">Figure </w:t>
      </w:r>
      <w:r w:rsidR="00C86D5C">
        <w:rPr>
          <w:noProof/>
        </w:rPr>
        <w:t>7</w:t>
      </w:r>
      <w:r w:rsidR="00C86D5C">
        <w:rPr>
          <w:lang w:val="en-US"/>
        </w:rPr>
        <w:fldChar w:fldCharType="end"/>
      </w:r>
      <w:r>
        <w:rPr>
          <w:lang w:val="en-US"/>
        </w:rPr>
        <w:t xml:space="preserve"> </w:t>
      </w:r>
      <w:r w:rsidR="00C86D5C">
        <w:rPr>
          <w:lang w:val="en-US"/>
        </w:rPr>
        <w:t>shows</w:t>
      </w:r>
      <w:r>
        <w:rPr>
          <w:lang w:val="en-US"/>
        </w:rPr>
        <w:t xml:space="preserve"> a very similar behavior in terms of SINR and throughput performance</w:t>
      </w:r>
      <w:r w:rsidR="00226D2A">
        <w:rPr>
          <w:lang w:val="en-US"/>
        </w:rPr>
        <w:t xml:space="preserve"> </w:t>
      </w:r>
      <w:r w:rsidR="002E3150">
        <w:rPr>
          <w:lang w:val="en-US"/>
        </w:rPr>
        <w:t>in</w:t>
      </w:r>
      <w:r w:rsidR="00226D2A">
        <w:rPr>
          <w:lang w:val="en-US"/>
        </w:rPr>
        <w:t xml:space="preserve"> the two case of dynamic and non-dynamic TDD operation.</w:t>
      </w:r>
    </w:p>
    <w:p w14:paraId="424C2A65" w14:textId="711FDC58" w:rsidR="00D63026" w:rsidRDefault="0061104E" w:rsidP="00FE2684">
      <w:pPr>
        <w:rPr>
          <w:lang w:val="en-US"/>
        </w:rPr>
      </w:pPr>
      <w:r>
        <w:rPr>
          <w:lang w:val="en-US"/>
        </w:rPr>
        <w:t>Based on the above observations, we</w:t>
      </w:r>
      <w:r w:rsidR="00E36AAF">
        <w:rPr>
          <w:lang w:val="en-US"/>
        </w:rPr>
        <w:t xml:space="preserve"> conclude that dynamic TDD operation is possible in the </w:t>
      </w:r>
      <w:proofErr w:type="spellStart"/>
      <w:r w:rsidR="00E36AAF">
        <w:rPr>
          <w:lang w:val="en-US"/>
        </w:rPr>
        <w:t>UMa</w:t>
      </w:r>
      <w:proofErr w:type="spellEnd"/>
      <w:r w:rsidR="00E36AAF">
        <w:rPr>
          <w:lang w:val="en-US"/>
        </w:rPr>
        <w:t>-to-</w:t>
      </w:r>
      <w:proofErr w:type="spellStart"/>
      <w:r w:rsidR="00E36AAF">
        <w:rPr>
          <w:lang w:val="en-US"/>
        </w:rPr>
        <w:t>InH</w:t>
      </w:r>
      <w:proofErr w:type="spellEnd"/>
      <w:r w:rsidR="00E36AAF">
        <w:rPr>
          <w:lang w:val="en-US"/>
        </w:rPr>
        <w:t xml:space="preserve"> deployment scenario in FR1 at least from a UE-to-UE interference point of view.</w:t>
      </w:r>
    </w:p>
    <w:p w14:paraId="12F9376D" w14:textId="5F7007FA" w:rsidR="009C2C82" w:rsidRDefault="00C6367D" w:rsidP="009C2C82">
      <w:pPr>
        <w:keepNext/>
        <w:jc w:val="center"/>
      </w:pPr>
      <w:r w:rsidRPr="00C6367D">
        <w:rPr>
          <w:noProof/>
        </w:rPr>
        <w:lastRenderedPageBreak/>
        <w:drawing>
          <wp:inline distT="0" distB="0" distL="0" distR="0" wp14:anchorId="679A17CD" wp14:editId="4A942311">
            <wp:extent cx="5323200" cy="3992400"/>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3200" cy="3992400"/>
                    </a:xfrm>
                    <a:prstGeom prst="rect">
                      <a:avLst/>
                    </a:prstGeom>
                    <a:noFill/>
                    <a:ln>
                      <a:noFill/>
                    </a:ln>
                  </pic:spPr>
                </pic:pic>
              </a:graphicData>
            </a:graphic>
          </wp:inline>
        </w:drawing>
      </w:r>
    </w:p>
    <w:p w14:paraId="242F9E05" w14:textId="7B238013" w:rsidR="00A808F9" w:rsidRDefault="009C2C82" w:rsidP="00242804">
      <w:pPr>
        <w:pStyle w:val="Caption"/>
        <w:jc w:val="center"/>
        <w:rPr>
          <w:b w:val="0"/>
          <w:noProof/>
          <w:lang w:val="en-US"/>
        </w:rPr>
      </w:pPr>
      <w:bookmarkStart w:id="8" w:name="_Ref5052133"/>
      <w:r>
        <w:t xml:space="preserve">Figure </w:t>
      </w:r>
      <w:r>
        <w:fldChar w:fldCharType="begin"/>
      </w:r>
      <w:r>
        <w:instrText xml:space="preserve"> SEQ Figure \* ARABIC </w:instrText>
      </w:r>
      <w:r>
        <w:fldChar w:fldCharType="separate"/>
      </w:r>
      <w:r w:rsidR="0097308F">
        <w:rPr>
          <w:noProof/>
        </w:rPr>
        <w:t>7</w:t>
      </w:r>
      <w:r>
        <w:fldChar w:fldCharType="end"/>
      </w:r>
      <w:bookmarkEnd w:id="8"/>
      <w:r>
        <w:t>.</w:t>
      </w:r>
      <w:r w:rsidRPr="009C2C82">
        <w:t xml:space="preserve"> </w:t>
      </w:r>
      <w:r w:rsidRPr="00831435">
        <w:t xml:space="preserve">Comparison of </w:t>
      </w:r>
      <w:r>
        <w:t>SINR</w:t>
      </w:r>
      <w:r w:rsidRPr="00831435">
        <w:t xml:space="preserve"> performance with ACI in </w:t>
      </w:r>
      <w:proofErr w:type="spellStart"/>
      <w:r>
        <w:t>UMa</w:t>
      </w:r>
      <w:proofErr w:type="spellEnd"/>
      <w:r>
        <w:t>-to-</w:t>
      </w:r>
      <w:proofErr w:type="spellStart"/>
      <w:r>
        <w:t>InH</w:t>
      </w:r>
      <w:proofErr w:type="spellEnd"/>
      <w:r w:rsidRPr="00831435">
        <w:t xml:space="preserve"> scenario</w:t>
      </w:r>
    </w:p>
    <w:p w14:paraId="1BF54780" w14:textId="77777777" w:rsidR="00E36AAF" w:rsidRPr="00E36AAF" w:rsidRDefault="00E36AAF" w:rsidP="00E36AAF">
      <w:pPr>
        <w:rPr>
          <w:lang w:val="en-US"/>
        </w:rPr>
      </w:pPr>
    </w:p>
    <w:bookmarkEnd w:id="5"/>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3C333FE1" w14:textId="6F47ABC5" w:rsidR="00C13EE6" w:rsidRDefault="00C13EE6" w:rsidP="0008667E">
      <w:pPr>
        <w:jc w:val="both"/>
        <w:rPr>
          <w:lang w:val="en-US"/>
        </w:rPr>
      </w:pPr>
      <w:r w:rsidRPr="00C13EE6">
        <w:rPr>
          <w:lang w:val="en-US"/>
        </w:rPr>
        <w:t>In this contribution we presented simulation results addressing the impact of UE-to-UE CLI on network performance.</w:t>
      </w:r>
      <w:r>
        <w:rPr>
          <w:lang w:val="en-US"/>
        </w:rPr>
        <w:t xml:space="preserve"> We analyzed several different scenarios either in FR1 and FR2 and noticed that in all of them the impact of UE-to-UE CLI to network performance is </w:t>
      </w:r>
      <w:r w:rsidR="00F93525">
        <w:rPr>
          <w:lang w:val="en-US"/>
        </w:rPr>
        <w:t>negligible</w:t>
      </w:r>
      <w:r>
        <w:rPr>
          <w:lang w:val="en-US"/>
        </w:rPr>
        <w:t xml:space="preserve">. </w:t>
      </w:r>
    </w:p>
    <w:p w14:paraId="5F815C04" w14:textId="1FB3648D" w:rsidR="00C13EE6" w:rsidRPr="00A9028A" w:rsidRDefault="00C13EE6" w:rsidP="0008667E">
      <w:pPr>
        <w:jc w:val="both"/>
        <w:rPr>
          <w:b/>
          <w:lang w:val="en-US"/>
        </w:rPr>
      </w:pPr>
      <w:r>
        <w:rPr>
          <w:lang w:val="en-US"/>
        </w:rPr>
        <w:t>Based on this observation, we conclude that under the agreed assumptions</w:t>
      </w:r>
      <w:r w:rsidR="0060050C">
        <w:rPr>
          <w:lang w:val="en-US"/>
        </w:rPr>
        <w:t xml:space="preserve"> and in the analyzed scenarios</w:t>
      </w:r>
      <w:r>
        <w:rPr>
          <w:lang w:val="en-US"/>
        </w:rPr>
        <w:t>, dynamic TDD operation is possible</w:t>
      </w:r>
      <w:r w:rsidR="000C0996">
        <w:rPr>
          <w:lang w:val="en-US"/>
        </w:rPr>
        <w:t xml:space="preserve"> in both FR1 and FR2</w:t>
      </w:r>
      <w:bookmarkStart w:id="9" w:name="_GoBack"/>
      <w:bookmarkEnd w:id="9"/>
      <w:r>
        <w:rPr>
          <w:lang w:val="en-US"/>
        </w:rPr>
        <w:t xml:space="preserve"> in terms of UE-to-UE interference.</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376F57C2" w:rsidR="000C5EDD" w:rsidRPr="000F69C5" w:rsidRDefault="000C5EDD" w:rsidP="000C5EDD">
      <w:pPr>
        <w:pStyle w:val="ListParagraph"/>
        <w:numPr>
          <w:ilvl w:val="0"/>
          <w:numId w:val="2"/>
        </w:numPr>
        <w:rPr>
          <w:lang w:val="en-US"/>
        </w:rPr>
      </w:pPr>
      <w:bookmarkStart w:id="10" w:name="_Ref4485324"/>
      <w:r w:rsidRPr="000C5EDD">
        <w:rPr>
          <w:lang w:val="en-US"/>
        </w:rPr>
        <w:t>RP-182864, “Revised WID on Cross Link Interference (CLI) handling and Remote Interference Management (RIM) for NR”</w:t>
      </w:r>
      <w:bookmarkEnd w:id="10"/>
      <w:r w:rsidR="000D41EC">
        <w:rPr>
          <w:lang w:val="en-US"/>
        </w:rPr>
        <w:t>.</w:t>
      </w:r>
    </w:p>
    <w:p w14:paraId="66FEC759" w14:textId="3BF70030" w:rsidR="000C5EDD" w:rsidRDefault="000D41EC" w:rsidP="000C5EDD">
      <w:pPr>
        <w:pStyle w:val="ListParagraph"/>
        <w:numPr>
          <w:ilvl w:val="0"/>
          <w:numId w:val="2"/>
        </w:numPr>
        <w:rPr>
          <w:lang w:val="en-US"/>
        </w:rPr>
      </w:pPr>
      <w:bookmarkStart w:id="11" w:name="_Ref4486364"/>
      <w:r w:rsidRPr="000D41EC">
        <w:rPr>
          <w:lang w:val="en-US"/>
        </w:rPr>
        <w:t>R4-1902507</w:t>
      </w:r>
      <w:r>
        <w:rPr>
          <w:lang w:val="en-US"/>
        </w:rPr>
        <w:t>, “</w:t>
      </w:r>
      <w:r w:rsidRPr="000D41EC">
        <w:rPr>
          <w:lang w:val="en-US"/>
        </w:rPr>
        <w:t>WF on Simulation assumptions of Co-existence study for CLI</w:t>
      </w:r>
      <w:r>
        <w:rPr>
          <w:lang w:val="en-US"/>
        </w:rPr>
        <w:t xml:space="preserve">”, </w:t>
      </w:r>
      <w:r w:rsidRPr="000D41EC">
        <w:rPr>
          <w:lang w:val="en-US"/>
        </w:rPr>
        <w:t>LG Electronics, Ericsson, Huawei, Nokia, Qualcomm</w:t>
      </w:r>
      <w:r>
        <w:rPr>
          <w:lang w:val="en-US"/>
        </w:rPr>
        <w:t>.</w:t>
      </w:r>
      <w:bookmarkEnd w:id="11"/>
    </w:p>
    <w:p w14:paraId="0DCF129F" w14:textId="328A81E4" w:rsidR="000D41EC" w:rsidRPr="005B39DF" w:rsidRDefault="000D41EC" w:rsidP="005B39DF">
      <w:pPr>
        <w:pStyle w:val="ListParagraph"/>
        <w:numPr>
          <w:ilvl w:val="0"/>
          <w:numId w:val="2"/>
        </w:numPr>
        <w:rPr>
          <w:lang w:val="en-US"/>
        </w:rPr>
      </w:pPr>
      <w:bookmarkStart w:id="12" w:name="_Ref4486365"/>
      <w:r w:rsidRPr="000D41EC">
        <w:rPr>
          <w:lang w:val="en-US"/>
        </w:rPr>
        <w:t>R4-1902506, “WF on co-existence study of CLI”, LG Electronics, Ericsson, Huawei, Nokia, Qualcomm.</w:t>
      </w:r>
      <w:bookmarkEnd w:id="12"/>
    </w:p>
    <w:sectPr w:rsidR="000D41EC" w:rsidRPr="005B39DF"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3A70C" w14:textId="77777777" w:rsidR="00CE62EE" w:rsidRDefault="00CE62EE">
      <w:r>
        <w:separator/>
      </w:r>
    </w:p>
  </w:endnote>
  <w:endnote w:type="continuationSeparator" w:id="0">
    <w:p w14:paraId="66602BAD" w14:textId="77777777" w:rsidR="00CE62EE" w:rsidRDefault="00CE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S Mincho"/>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7F7C21" w:rsidRDefault="007F7C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7F7C21" w:rsidRDefault="007F7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7F7C21" w:rsidRDefault="007F7C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7F7C21" w:rsidRDefault="007F7C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E3DBD" w14:textId="77777777" w:rsidR="00CE62EE" w:rsidRDefault="00CE62EE">
      <w:r>
        <w:separator/>
      </w:r>
    </w:p>
  </w:footnote>
  <w:footnote w:type="continuationSeparator" w:id="0">
    <w:p w14:paraId="4C1A9FD2" w14:textId="77777777" w:rsidR="00CE62EE" w:rsidRDefault="00CE6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D3AE4"/>
    <w:multiLevelType w:val="hybridMultilevel"/>
    <w:tmpl w:val="19A08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7"/>
  </w:num>
  <w:num w:numId="3">
    <w:abstractNumId w:val="30"/>
  </w:num>
  <w:num w:numId="4">
    <w:abstractNumId w:val="33"/>
  </w:num>
  <w:num w:numId="5">
    <w:abstractNumId w:val="22"/>
  </w:num>
  <w:num w:numId="6">
    <w:abstractNumId w:val="11"/>
  </w:num>
  <w:num w:numId="7">
    <w:abstractNumId w:val="1"/>
  </w:num>
  <w:num w:numId="8">
    <w:abstractNumId w:val="28"/>
  </w:num>
  <w:num w:numId="9">
    <w:abstractNumId w:val="13"/>
  </w:num>
  <w:num w:numId="10">
    <w:abstractNumId w:val="20"/>
  </w:num>
  <w:num w:numId="11">
    <w:abstractNumId w:val="35"/>
  </w:num>
  <w:num w:numId="12">
    <w:abstractNumId w:val="31"/>
  </w:num>
  <w:num w:numId="13">
    <w:abstractNumId w:val="17"/>
  </w:num>
  <w:num w:numId="14">
    <w:abstractNumId w:val="15"/>
  </w:num>
  <w:num w:numId="15">
    <w:abstractNumId w:val="12"/>
  </w:num>
  <w:num w:numId="16">
    <w:abstractNumId w:val="10"/>
  </w:num>
  <w:num w:numId="17">
    <w:abstractNumId w:val="19"/>
  </w:num>
  <w:num w:numId="18">
    <w:abstractNumId w:val="34"/>
  </w:num>
  <w:num w:numId="19">
    <w:abstractNumId w:val="4"/>
  </w:num>
  <w:num w:numId="20">
    <w:abstractNumId w:val="32"/>
  </w:num>
  <w:num w:numId="21">
    <w:abstractNumId w:val="29"/>
  </w:num>
  <w:num w:numId="22">
    <w:abstractNumId w:val="25"/>
  </w:num>
  <w:num w:numId="23">
    <w:abstractNumId w:val="16"/>
  </w:num>
  <w:num w:numId="24">
    <w:abstractNumId w:val="26"/>
  </w:num>
  <w:num w:numId="25">
    <w:abstractNumId w:val="6"/>
  </w:num>
  <w:num w:numId="26">
    <w:abstractNumId w:val="2"/>
  </w:num>
  <w:num w:numId="27">
    <w:abstractNumId w:val="23"/>
  </w:num>
  <w:num w:numId="28">
    <w:abstractNumId w:val="24"/>
  </w:num>
  <w:num w:numId="29">
    <w:abstractNumId w:val="8"/>
  </w:num>
  <w:num w:numId="30">
    <w:abstractNumId w:val="3"/>
  </w:num>
  <w:num w:numId="31">
    <w:abstractNumId w:val="21"/>
  </w:num>
  <w:num w:numId="32">
    <w:abstractNumId w:val="0"/>
  </w:num>
  <w:num w:numId="33">
    <w:abstractNumId w:val="5"/>
  </w:num>
  <w:num w:numId="34">
    <w:abstractNumId w:val="14"/>
  </w:num>
  <w:num w:numId="35">
    <w:abstractNumId w:val="9"/>
  </w:num>
  <w:num w:numId="3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19"/>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996"/>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1EC"/>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E7F96"/>
    <w:rsid w:val="000F0E0B"/>
    <w:rsid w:val="000F0E22"/>
    <w:rsid w:val="000F1DA5"/>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3E87"/>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10A7"/>
    <w:rsid w:val="001C1430"/>
    <w:rsid w:val="001C22CF"/>
    <w:rsid w:val="001C24C6"/>
    <w:rsid w:val="001C2DBA"/>
    <w:rsid w:val="001C3588"/>
    <w:rsid w:val="001C3762"/>
    <w:rsid w:val="001C39F2"/>
    <w:rsid w:val="001C3D1E"/>
    <w:rsid w:val="001C3FC8"/>
    <w:rsid w:val="001C41EF"/>
    <w:rsid w:val="001C4AAD"/>
    <w:rsid w:val="001C4BB4"/>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3B53"/>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2B6"/>
    <w:rsid w:val="00221847"/>
    <w:rsid w:val="00221BA7"/>
    <w:rsid w:val="00221D4F"/>
    <w:rsid w:val="0022412D"/>
    <w:rsid w:val="002247C0"/>
    <w:rsid w:val="00224CA8"/>
    <w:rsid w:val="0022544D"/>
    <w:rsid w:val="0022639F"/>
    <w:rsid w:val="00226D2A"/>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2804"/>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41E7"/>
    <w:rsid w:val="0025423F"/>
    <w:rsid w:val="00254428"/>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65FA"/>
    <w:rsid w:val="002869C0"/>
    <w:rsid w:val="00290240"/>
    <w:rsid w:val="00290633"/>
    <w:rsid w:val="00290FB2"/>
    <w:rsid w:val="002921C4"/>
    <w:rsid w:val="0029221C"/>
    <w:rsid w:val="002932EC"/>
    <w:rsid w:val="0029349B"/>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3D10"/>
    <w:rsid w:val="002A4F99"/>
    <w:rsid w:val="002A5A2D"/>
    <w:rsid w:val="002A679B"/>
    <w:rsid w:val="002A6ED0"/>
    <w:rsid w:val="002A70C2"/>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46C"/>
    <w:rsid w:val="002C1E15"/>
    <w:rsid w:val="002C27CE"/>
    <w:rsid w:val="002C3188"/>
    <w:rsid w:val="002C3C5A"/>
    <w:rsid w:val="002C40ED"/>
    <w:rsid w:val="002C4E58"/>
    <w:rsid w:val="002C4F68"/>
    <w:rsid w:val="002C5195"/>
    <w:rsid w:val="002C55BD"/>
    <w:rsid w:val="002C6A07"/>
    <w:rsid w:val="002C71AC"/>
    <w:rsid w:val="002C7B2B"/>
    <w:rsid w:val="002C7C8C"/>
    <w:rsid w:val="002C7CC0"/>
    <w:rsid w:val="002D087B"/>
    <w:rsid w:val="002D0BCE"/>
    <w:rsid w:val="002D0C99"/>
    <w:rsid w:val="002D19C1"/>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3150"/>
    <w:rsid w:val="002E3236"/>
    <w:rsid w:val="002E3540"/>
    <w:rsid w:val="002E381B"/>
    <w:rsid w:val="002E38E3"/>
    <w:rsid w:val="002E3BD7"/>
    <w:rsid w:val="002E407E"/>
    <w:rsid w:val="002E4880"/>
    <w:rsid w:val="002E4D02"/>
    <w:rsid w:val="002E55A2"/>
    <w:rsid w:val="002E580A"/>
    <w:rsid w:val="002E5F36"/>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C4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16E"/>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21EB"/>
    <w:rsid w:val="003226E5"/>
    <w:rsid w:val="00322EBD"/>
    <w:rsid w:val="00323057"/>
    <w:rsid w:val="003232CF"/>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FF9"/>
    <w:rsid w:val="0034613F"/>
    <w:rsid w:val="0034670C"/>
    <w:rsid w:val="00346BAD"/>
    <w:rsid w:val="003478F5"/>
    <w:rsid w:val="00347912"/>
    <w:rsid w:val="003502AD"/>
    <w:rsid w:val="0035071D"/>
    <w:rsid w:val="003508AD"/>
    <w:rsid w:val="0035091D"/>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C72"/>
    <w:rsid w:val="003C6439"/>
    <w:rsid w:val="003C675A"/>
    <w:rsid w:val="003C7753"/>
    <w:rsid w:val="003C7927"/>
    <w:rsid w:val="003D0345"/>
    <w:rsid w:val="003D056F"/>
    <w:rsid w:val="003D0A93"/>
    <w:rsid w:val="003D1277"/>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6F16"/>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491"/>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110B"/>
    <w:rsid w:val="0042128B"/>
    <w:rsid w:val="004217D4"/>
    <w:rsid w:val="004217DE"/>
    <w:rsid w:val="00422361"/>
    <w:rsid w:val="00422655"/>
    <w:rsid w:val="00422E0A"/>
    <w:rsid w:val="0042335E"/>
    <w:rsid w:val="0042352E"/>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837"/>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7A8"/>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975"/>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3A2"/>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596"/>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6A7"/>
    <w:rsid w:val="00517B05"/>
    <w:rsid w:val="00521297"/>
    <w:rsid w:val="0052151E"/>
    <w:rsid w:val="00524D75"/>
    <w:rsid w:val="005250F6"/>
    <w:rsid w:val="00525799"/>
    <w:rsid w:val="00525E31"/>
    <w:rsid w:val="005262F0"/>
    <w:rsid w:val="005263E6"/>
    <w:rsid w:val="00526714"/>
    <w:rsid w:val="00526C00"/>
    <w:rsid w:val="00526D84"/>
    <w:rsid w:val="00526E66"/>
    <w:rsid w:val="0052707B"/>
    <w:rsid w:val="0052780F"/>
    <w:rsid w:val="0052782A"/>
    <w:rsid w:val="005278D5"/>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287"/>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9DF"/>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08C"/>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50C"/>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04E"/>
    <w:rsid w:val="00611D5B"/>
    <w:rsid w:val="00611E72"/>
    <w:rsid w:val="00612119"/>
    <w:rsid w:val="006123A2"/>
    <w:rsid w:val="00613713"/>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CC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56"/>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9CD"/>
    <w:rsid w:val="00647987"/>
    <w:rsid w:val="006508C4"/>
    <w:rsid w:val="00650B89"/>
    <w:rsid w:val="006514CA"/>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05C"/>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3783"/>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4E7"/>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3A61"/>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45"/>
    <w:rsid w:val="007E3565"/>
    <w:rsid w:val="007E4B1F"/>
    <w:rsid w:val="007E521D"/>
    <w:rsid w:val="007E57E8"/>
    <w:rsid w:val="007E5B8D"/>
    <w:rsid w:val="007E61EC"/>
    <w:rsid w:val="007E67F4"/>
    <w:rsid w:val="007E6FF2"/>
    <w:rsid w:val="007E74E4"/>
    <w:rsid w:val="007E7C9C"/>
    <w:rsid w:val="007F00C3"/>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7F7C21"/>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568"/>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126"/>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ADA"/>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08F"/>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84E"/>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0B66"/>
    <w:rsid w:val="009C134D"/>
    <w:rsid w:val="009C1F3F"/>
    <w:rsid w:val="009C22CD"/>
    <w:rsid w:val="009C2C82"/>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E66"/>
    <w:rsid w:val="00A57F99"/>
    <w:rsid w:val="00A60AE9"/>
    <w:rsid w:val="00A60B63"/>
    <w:rsid w:val="00A60E5C"/>
    <w:rsid w:val="00A60EBF"/>
    <w:rsid w:val="00A61490"/>
    <w:rsid w:val="00A6180B"/>
    <w:rsid w:val="00A61BF2"/>
    <w:rsid w:val="00A61E45"/>
    <w:rsid w:val="00A6267D"/>
    <w:rsid w:val="00A63294"/>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08F9"/>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00"/>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6540"/>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323"/>
    <w:rsid w:val="00B45791"/>
    <w:rsid w:val="00B46047"/>
    <w:rsid w:val="00B467AD"/>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67239"/>
    <w:rsid w:val="00B70000"/>
    <w:rsid w:val="00B70E35"/>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4E92"/>
    <w:rsid w:val="00C0553B"/>
    <w:rsid w:val="00C05884"/>
    <w:rsid w:val="00C05F13"/>
    <w:rsid w:val="00C07205"/>
    <w:rsid w:val="00C07C9A"/>
    <w:rsid w:val="00C07FC4"/>
    <w:rsid w:val="00C11D7B"/>
    <w:rsid w:val="00C1248E"/>
    <w:rsid w:val="00C12625"/>
    <w:rsid w:val="00C12C41"/>
    <w:rsid w:val="00C13EE6"/>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3BE8"/>
    <w:rsid w:val="00C541D2"/>
    <w:rsid w:val="00C54646"/>
    <w:rsid w:val="00C5608D"/>
    <w:rsid w:val="00C56370"/>
    <w:rsid w:val="00C56960"/>
    <w:rsid w:val="00C571F6"/>
    <w:rsid w:val="00C57305"/>
    <w:rsid w:val="00C5751B"/>
    <w:rsid w:val="00C57D67"/>
    <w:rsid w:val="00C615C8"/>
    <w:rsid w:val="00C619FF"/>
    <w:rsid w:val="00C61EE7"/>
    <w:rsid w:val="00C621BA"/>
    <w:rsid w:val="00C6367D"/>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D5C"/>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21C"/>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4F40"/>
    <w:rsid w:val="00CD5B3C"/>
    <w:rsid w:val="00CD5BE1"/>
    <w:rsid w:val="00CD6617"/>
    <w:rsid w:val="00CD6660"/>
    <w:rsid w:val="00CD67F1"/>
    <w:rsid w:val="00CD7394"/>
    <w:rsid w:val="00CD76A5"/>
    <w:rsid w:val="00CD796E"/>
    <w:rsid w:val="00CE059E"/>
    <w:rsid w:val="00CE06EF"/>
    <w:rsid w:val="00CE092B"/>
    <w:rsid w:val="00CE138E"/>
    <w:rsid w:val="00CE1BCB"/>
    <w:rsid w:val="00CE1C3F"/>
    <w:rsid w:val="00CE2432"/>
    <w:rsid w:val="00CE2B85"/>
    <w:rsid w:val="00CE2CEF"/>
    <w:rsid w:val="00CE3AA7"/>
    <w:rsid w:val="00CE50BD"/>
    <w:rsid w:val="00CE59DF"/>
    <w:rsid w:val="00CE6105"/>
    <w:rsid w:val="00CE62EE"/>
    <w:rsid w:val="00CE6E7E"/>
    <w:rsid w:val="00CE7474"/>
    <w:rsid w:val="00CE76F4"/>
    <w:rsid w:val="00CE7D78"/>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6FAC"/>
    <w:rsid w:val="00CF7D73"/>
    <w:rsid w:val="00D004D9"/>
    <w:rsid w:val="00D0081E"/>
    <w:rsid w:val="00D00987"/>
    <w:rsid w:val="00D0115D"/>
    <w:rsid w:val="00D03248"/>
    <w:rsid w:val="00D03763"/>
    <w:rsid w:val="00D03913"/>
    <w:rsid w:val="00D046DF"/>
    <w:rsid w:val="00D04FF5"/>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611"/>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026"/>
    <w:rsid w:val="00D63339"/>
    <w:rsid w:val="00D63479"/>
    <w:rsid w:val="00D63D04"/>
    <w:rsid w:val="00D6504D"/>
    <w:rsid w:val="00D65150"/>
    <w:rsid w:val="00D6534E"/>
    <w:rsid w:val="00D65603"/>
    <w:rsid w:val="00D658AE"/>
    <w:rsid w:val="00D658D6"/>
    <w:rsid w:val="00D66558"/>
    <w:rsid w:val="00D6664A"/>
    <w:rsid w:val="00D66AD0"/>
    <w:rsid w:val="00D67B3A"/>
    <w:rsid w:val="00D70B1E"/>
    <w:rsid w:val="00D70FF7"/>
    <w:rsid w:val="00D717A6"/>
    <w:rsid w:val="00D71F68"/>
    <w:rsid w:val="00D723B1"/>
    <w:rsid w:val="00D72F93"/>
    <w:rsid w:val="00D73006"/>
    <w:rsid w:val="00D7304F"/>
    <w:rsid w:val="00D733F3"/>
    <w:rsid w:val="00D7361F"/>
    <w:rsid w:val="00D73916"/>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58C6"/>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6DF6"/>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1DE3"/>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2AE"/>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5F7"/>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34D"/>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797A"/>
    <w:rsid w:val="00E3027E"/>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921"/>
    <w:rsid w:val="00E35A26"/>
    <w:rsid w:val="00E36AAF"/>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85E"/>
    <w:rsid w:val="00E62C41"/>
    <w:rsid w:val="00E62E97"/>
    <w:rsid w:val="00E62EEA"/>
    <w:rsid w:val="00E6337C"/>
    <w:rsid w:val="00E636C7"/>
    <w:rsid w:val="00E63933"/>
    <w:rsid w:val="00E63E2E"/>
    <w:rsid w:val="00E63E5F"/>
    <w:rsid w:val="00E647E9"/>
    <w:rsid w:val="00E64A0A"/>
    <w:rsid w:val="00E64B30"/>
    <w:rsid w:val="00E651A1"/>
    <w:rsid w:val="00E65221"/>
    <w:rsid w:val="00E6567F"/>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2E53"/>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0CDE"/>
    <w:rsid w:val="00F613AD"/>
    <w:rsid w:val="00F618BB"/>
    <w:rsid w:val="00F62B53"/>
    <w:rsid w:val="00F62CBF"/>
    <w:rsid w:val="00F637F8"/>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00F"/>
    <w:rsid w:val="00F90515"/>
    <w:rsid w:val="00F90F07"/>
    <w:rsid w:val="00F919B9"/>
    <w:rsid w:val="00F92025"/>
    <w:rsid w:val="00F92432"/>
    <w:rsid w:val="00F925F8"/>
    <w:rsid w:val="00F928DB"/>
    <w:rsid w:val="00F93525"/>
    <w:rsid w:val="00F93570"/>
    <w:rsid w:val="00F937D3"/>
    <w:rsid w:val="00F93BC5"/>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684"/>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8786812-7689-4EEC-B75E-4692C5F84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2446</TotalTime>
  <Pages>8</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140</cp:revision>
  <cp:lastPrinted>2018-04-06T13:41:00Z</cp:lastPrinted>
  <dcterms:created xsi:type="dcterms:W3CDTF">2019-02-14T11:27:00Z</dcterms:created>
  <dcterms:modified xsi:type="dcterms:W3CDTF">2019-04-01T21:48:00Z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